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0535F" w14:textId="5E77BC8A" w:rsidR="006A686C" w:rsidRPr="006A686C" w:rsidRDefault="006A686C" w:rsidP="00725F1A">
      <w:pPr>
        <w:spacing w:line="240" w:lineRule="auto"/>
        <w:rPr>
          <w:rFonts w:ascii="Garnett Medium" w:hAnsi="Garnett Medium" w:cstheme="majorHAnsi"/>
          <w:i/>
          <w:iCs/>
          <w:sz w:val="24"/>
          <w:szCs w:val="24"/>
          <w:lang w:val="en-US"/>
        </w:rPr>
      </w:pPr>
      <w:bookmarkStart w:id="0" w:name="_Hlk26535922"/>
      <w:r w:rsidRPr="006A686C">
        <w:rPr>
          <w:rFonts w:ascii="Garnett Medium" w:hAnsi="Garnett Medium" w:cstheme="minorHAnsi"/>
          <w:sz w:val="24"/>
          <w:szCs w:val="24"/>
          <w:lang w:val="en-US"/>
        </w:rPr>
        <w:t>P</w:t>
      </w:r>
      <w:r w:rsidRPr="006A686C">
        <w:rPr>
          <w:rFonts w:ascii="Garnett Medium" w:hAnsi="Garnett Medium" w:cstheme="minorHAnsi"/>
          <w:sz w:val="24"/>
          <w:szCs w:val="24"/>
          <w:lang w:val="en-US"/>
        </w:rPr>
        <w:t xml:space="preserve">olicy for responsible business conduct </w:t>
      </w:r>
      <w:r w:rsidRPr="006A686C">
        <w:rPr>
          <w:rFonts w:ascii="Garnett Medium" w:hAnsi="Garnett Medium" w:cstheme="minorHAnsi"/>
          <w:sz w:val="24"/>
          <w:szCs w:val="24"/>
          <w:lang w:val="en-US"/>
        </w:rPr>
        <w:t>–</w:t>
      </w:r>
      <w:r w:rsidRPr="006A686C">
        <w:rPr>
          <w:rFonts w:ascii="Garnett Medium" w:hAnsi="Garnett Medium" w:cstheme="minorHAnsi"/>
          <w:sz w:val="24"/>
          <w:szCs w:val="24"/>
          <w:lang w:val="en-US"/>
        </w:rPr>
        <w:t xml:space="preserve"> </w:t>
      </w:r>
      <w:r w:rsidRPr="006A686C">
        <w:rPr>
          <w:rFonts w:ascii="Garnett Medium" w:hAnsi="Garnett Medium" w:cstheme="minorHAnsi"/>
          <w:sz w:val="24"/>
          <w:szCs w:val="24"/>
          <w:lang w:val="en-US"/>
        </w:rPr>
        <w:t>Bokhari AS</w:t>
      </w:r>
    </w:p>
    <w:bookmarkEnd w:id="0"/>
    <w:p w14:paraId="6D9ABC05" w14:textId="77777777" w:rsidR="006A686C" w:rsidRPr="006A686C" w:rsidRDefault="006A686C" w:rsidP="006A686C">
      <w:pPr>
        <w:spacing w:after="0" w:line="240" w:lineRule="auto"/>
        <w:rPr>
          <w:rFonts w:ascii="Garnett Light" w:hAnsi="Garnett Light" w:cstheme="majorHAnsi"/>
          <w:b/>
          <w:bCs/>
          <w:i/>
          <w:iCs/>
          <w:sz w:val="20"/>
          <w:szCs w:val="20"/>
          <w:lang w:val="en-US"/>
        </w:rPr>
      </w:pPr>
      <w:r w:rsidRPr="006A686C">
        <w:rPr>
          <w:rFonts w:ascii="Garnett Light" w:hAnsi="Garnett Light" w:cstheme="majorHAnsi"/>
          <w:b/>
          <w:bCs/>
          <w:i/>
          <w:iCs/>
          <w:sz w:val="20"/>
          <w:szCs w:val="20"/>
          <w:lang w:val="en-US"/>
        </w:rPr>
        <w:t>Approved by the Bokhari AS</w:t>
      </w:r>
      <w:r w:rsidRPr="006A686C">
        <w:rPr>
          <w:rFonts w:ascii="Garnett Light" w:hAnsi="Garnett Light" w:cstheme="majorHAnsi"/>
          <w:b/>
          <w:bCs/>
          <w:i/>
          <w:iCs/>
          <w:sz w:val="20"/>
          <w:szCs w:val="20"/>
          <w:lang w:val="en-GB"/>
        </w:rPr>
        <w:t xml:space="preserve"> Board on 27.09.2024</w:t>
      </w:r>
      <w:r w:rsidRPr="006A686C">
        <w:rPr>
          <w:rFonts w:ascii="Garnett Light" w:hAnsi="Garnett Light" w:cstheme="majorHAnsi"/>
          <w:b/>
          <w:bCs/>
          <w:i/>
          <w:iCs/>
          <w:sz w:val="20"/>
          <w:szCs w:val="20"/>
          <w:lang w:val="en-US"/>
        </w:rPr>
        <w:t>.</w:t>
      </w:r>
    </w:p>
    <w:p w14:paraId="2EA9C580" w14:textId="77777777" w:rsidR="005A097B" w:rsidRPr="006A686C" w:rsidRDefault="005A097B" w:rsidP="00725F1A">
      <w:pPr>
        <w:spacing w:line="240" w:lineRule="auto"/>
        <w:rPr>
          <w:rFonts w:ascii="Garnett Light" w:hAnsi="Garnett Light" w:cstheme="majorHAnsi"/>
          <w:i/>
          <w:iCs/>
          <w:sz w:val="20"/>
          <w:szCs w:val="20"/>
          <w:lang w:val="en-US"/>
        </w:rPr>
      </w:pPr>
    </w:p>
    <w:p w14:paraId="420A8E1A" w14:textId="77777777" w:rsidR="0026188B" w:rsidRPr="006A686C" w:rsidRDefault="00E54A28" w:rsidP="00E54A28">
      <w:pPr>
        <w:pStyle w:val="Overskrift2"/>
        <w:rPr>
          <w:rFonts w:ascii="Garnett Light" w:hAnsi="Garnett Light"/>
          <w:b/>
          <w:bCs/>
          <w:color w:val="auto"/>
          <w:sz w:val="20"/>
          <w:szCs w:val="20"/>
          <w:lang w:val="en-US"/>
        </w:rPr>
      </w:pPr>
      <w:r w:rsidRPr="006A686C">
        <w:rPr>
          <w:rFonts w:ascii="Garnett Light" w:hAnsi="Garnett Light"/>
          <w:b/>
          <w:bCs/>
          <w:color w:val="auto"/>
          <w:sz w:val="20"/>
          <w:szCs w:val="20"/>
          <w:lang w:val="en-GB"/>
        </w:rPr>
        <w:t>Introduction</w:t>
      </w:r>
    </w:p>
    <w:p w14:paraId="5B5E3FE0" w14:textId="77777777" w:rsidR="006A686C" w:rsidRDefault="006A686C" w:rsidP="006A686C">
      <w:pPr>
        <w:spacing w:after="0" w:line="240" w:lineRule="auto"/>
        <w:jc w:val="both"/>
        <w:rPr>
          <w:rFonts w:ascii="Garnett Light" w:hAnsi="Garnett Light" w:cstheme="majorHAnsi"/>
          <w:sz w:val="20"/>
          <w:szCs w:val="20"/>
          <w:lang w:val="en-US"/>
        </w:rPr>
      </w:pPr>
      <w:bookmarkStart w:id="1" w:name="_Hlk26535972"/>
      <w:r w:rsidRPr="00A95F8B">
        <w:rPr>
          <w:rFonts w:ascii="Garnett Light" w:hAnsi="Garnett Light" w:cstheme="majorHAnsi"/>
          <w:sz w:val="20"/>
          <w:szCs w:val="20"/>
          <w:lang w:val="en-US"/>
        </w:rPr>
        <w:t xml:space="preserve">Bokhari AS is a social enterprise that wishes to elevate responsible design, production and sales to new levels, for the betterment of the people, planet and overall prosperity. By actively engaging in and with all levels of our business model, our target is to create decent employment opportunities to women and men, and quality education to their children, through a meaningful and responsible ecosystem. </w:t>
      </w:r>
    </w:p>
    <w:p w14:paraId="33B7CA3C" w14:textId="77777777" w:rsidR="006A686C" w:rsidRDefault="006A686C" w:rsidP="006A686C">
      <w:pPr>
        <w:spacing w:after="0" w:line="240" w:lineRule="auto"/>
        <w:jc w:val="both"/>
        <w:rPr>
          <w:rFonts w:ascii="Garnett Light" w:hAnsi="Garnett Light" w:cstheme="majorHAnsi"/>
          <w:sz w:val="20"/>
          <w:szCs w:val="20"/>
          <w:lang w:val="en-US"/>
        </w:rPr>
      </w:pPr>
    </w:p>
    <w:p w14:paraId="29FA43AE" w14:textId="49C55E19" w:rsidR="00E54A28" w:rsidRPr="006A686C" w:rsidRDefault="006A686C" w:rsidP="006A686C">
      <w:pPr>
        <w:spacing w:after="0" w:line="240" w:lineRule="auto"/>
        <w:jc w:val="both"/>
        <w:rPr>
          <w:rFonts w:ascii="Garnett Light" w:hAnsi="Garnett Light" w:cstheme="majorHAnsi"/>
          <w:sz w:val="20"/>
          <w:szCs w:val="20"/>
          <w:lang w:val="en-US"/>
        </w:rPr>
      </w:pPr>
      <w:r w:rsidRPr="006A686C">
        <w:rPr>
          <w:rFonts w:ascii="Garnett Light" w:hAnsi="Garnett Light" w:cstheme="majorHAnsi"/>
          <w:sz w:val="20"/>
          <w:szCs w:val="20"/>
          <w:lang w:val="en-US"/>
        </w:rPr>
        <w:t>Bokhari AS</w:t>
      </w:r>
      <w:r w:rsidR="00E54A28" w:rsidRPr="006A686C">
        <w:rPr>
          <w:rFonts w:ascii="Garnett Light" w:hAnsi="Garnett Light" w:cstheme="majorHAnsi"/>
          <w:sz w:val="20"/>
          <w:szCs w:val="20"/>
          <w:lang w:val="en-US"/>
        </w:rPr>
        <w:t xml:space="preserve"> strives towards responsible business conduct that respects people, society and the environment. </w:t>
      </w:r>
      <w:bookmarkStart w:id="2" w:name="_Hlk26536420"/>
      <w:bookmarkEnd w:id="1"/>
      <w:r w:rsidR="00E54A28" w:rsidRPr="006A686C">
        <w:rPr>
          <w:rFonts w:ascii="Garnett Light" w:hAnsi="Garnett Light" w:cstheme="majorHAnsi"/>
          <w:sz w:val="20"/>
          <w:szCs w:val="20"/>
          <w:lang w:val="en-US"/>
        </w:rPr>
        <w:t>This policy document, including our Code of Conduct, forms the foundation of our sustainability work.</w:t>
      </w:r>
      <w:bookmarkEnd w:id="2"/>
    </w:p>
    <w:p w14:paraId="32AA25A9" w14:textId="77777777" w:rsidR="006A686C" w:rsidRDefault="006A686C" w:rsidP="006A686C">
      <w:pPr>
        <w:spacing w:after="0" w:line="240" w:lineRule="auto"/>
        <w:jc w:val="both"/>
        <w:rPr>
          <w:rFonts w:ascii="Garnett Light" w:hAnsi="Garnett Light" w:cstheme="majorHAnsi"/>
          <w:sz w:val="20"/>
          <w:szCs w:val="20"/>
          <w:lang w:val="en-US"/>
        </w:rPr>
      </w:pPr>
    </w:p>
    <w:p w14:paraId="01032196" w14:textId="2CD641E1" w:rsidR="00E54A28" w:rsidRPr="006A686C" w:rsidRDefault="006A686C" w:rsidP="006A686C">
      <w:pPr>
        <w:spacing w:after="0" w:line="240" w:lineRule="auto"/>
        <w:jc w:val="both"/>
        <w:rPr>
          <w:rFonts w:ascii="Garnett Light" w:eastAsia="Times New Roman" w:hAnsi="Garnett Light" w:cstheme="majorHAnsi"/>
          <w:i/>
          <w:iCs/>
          <w:sz w:val="20"/>
          <w:szCs w:val="20"/>
          <w:lang w:val="en-US" w:eastAsia="nb-NO"/>
        </w:rPr>
      </w:pPr>
      <w:r w:rsidRPr="006A686C">
        <w:rPr>
          <w:rFonts w:ascii="Garnett Light" w:hAnsi="Garnett Light" w:cstheme="majorHAnsi"/>
          <w:sz w:val="20"/>
          <w:szCs w:val="20"/>
          <w:lang w:val="en-US"/>
        </w:rPr>
        <w:t xml:space="preserve">Bokhari AS </w:t>
      </w:r>
      <w:r w:rsidR="00E54A28" w:rsidRPr="006A686C">
        <w:rPr>
          <w:rFonts w:ascii="Garnett Light" w:eastAsia="Times New Roman" w:hAnsi="Garnett Light" w:cstheme="majorHAnsi"/>
          <w:sz w:val="20"/>
          <w:szCs w:val="20"/>
          <w:lang w:val="en-US" w:eastAsia="nb-NO"/>
        </w:rPr>
        <w:t xml:space="preserve">considers responsible business conduct to be a prerequisite for sustainable development, meaning that today’s generation get their needs covered without compromising the </w:t>
      </w:r>
      <w:r w:rsidR="002A41FE" w:rsidRPr="006A686C">
        <w:rPr>
          <w:rFonts w:ascii="Garnett Light" w:eastAsia="Times New Roman" w:hAnsi="Garnett Light" w:cstheme="majorHAnsi"/>
          <w:sz w:val="20"/>
          <w:szCs w:val="20"/>
          <w:lang w:val="en-US" w:eastAsia="nb-NO"/>
        </w:rPr>
        <w:t xml:space="preserve">ability of </w:t>
      </w:r>
      <w:r w:rsidR="00E54A28" w:rsidRPr="006A686C">
        <w:rPr>
          <w:rFonts w:ascii="Garnett Light" w:eastAsia="Times New Roman" w:hAnsi="Garnett Light" w:cstheme="majorHAnsi"/>
          <w:sz w:val="20"/>
          <w:szCs w:val="20"/>
          <w:lang w:val="en-US" w:eastAsia="nb-NO"/>
        </w:rPr>
        <w:t>future generations to meet their own needs</w:t>
      </w:r>
      <w:r w:rsidR="002A41FE" w:rsidRPr="006A686C">
        <w:rPr>
          <w:rStyle w:val="Fotnotereferanse"/>
          <w:rFonts w:ascii="Garnett Light" w:hAnsi="Garnett Light" w:cstheme="majorHAnsi"/>
          <w:sz w:val="20"/>
          <w:szCs w:val="20"/>
          <w:lang w:eastAsia="nb-NO"/>
        </w:rPr>
        <w:footnoteReference w:id="2"/>
      </w:r>
      <w:r w:rsidR="00E54A28" w:rsidRPr="006A686C">
        <w:rPr>
          <w:rFonts w:ascii="Garnett Light" w:eastAsia="Times New Roman" w:hAnsi="Garnett Light" w:cstheme="majorHAnsi"/>
          <w:sz w:val="20"/>
          <w:szCs w:val="20"/>
          <w:lang w:val="en-US" w:eastAsia="nb-NO"/>
        </w:rPr>
        <w:t xml:space="preserve">.. The UN Sustainable Development Goals (SDGs) </w:t>
      </w:r>
      <w:proofErr w:type="gramStart"/>
      <w:r w:rsidR="00E54A28" w:rsidRPr="006A686C">
        <w:rPr>
          <w:rFonts w:ascii="Garnett Light" w:eastAsia="Times New Roman" w:hAnsi="Garnett Light" w:cstheme="majorHAnsi"/>
          <w:sz w:val="20"/>
          <w:szCs w:val="20"/>
          <w:lang w:val="en-US" w:eastAsia="nb-NO"/>
        </w:rPr>
        <w:t>is</w:t>
      </w:r>
      <w:proofErr w:type="gramEnd"/>
      <w:r w:rsidR="00E54A28" w:rsidRPr="006A686C">
        <w:rPr>
          <w:rFonts w:ascii="Garnett Light" w:eastAsia="Times New Roman" w:hAnsi="Garnett Light" w:cstheme="majorHAnsi"/>
          <w:sz w:val="20"/>
          <w:szCs w:val="20"/>
          <w:lang w:val="en-US" w:eastAsia="nb-NO"/>
        </w:rPr>
        <w:t xml:space="preserve"> the world's joint action plan for sustainable development. </w:t>
      </w:r>
      <w:r w:rsidRPr="006A686C">
        <w:rPr>
          <w:rFonts w:ascii="Garnett Light" w:hAnsi="Garnett Light" w:cstheme="majorHAnsi"/>
          <w:sz w:val="20"/>
          <w:szCs w:val="20"/>
          <w:lang w:val="en-US"/>
        </w:rPr>
        <w:t xml:space="preserve">Bokhari AS </w:t>
      </w:r>
      <w:r w:rsidR="00E54A28" w:rsidRPr="006A686C">
        <w:rPr>
          <w:rFonts w:ascii="Garnett Light" w:eastAsia="Times New Roman" w:hAnsi="Garnett Light" w:cstheme="majorHAnsi"/>
          <w:sz w:val="20"/>
          <w:szCs w:val="20"/>
          <w:lang w:val="en-US" w:eastAsia="nb-NO"/>
        </w:rPr>
        <w:t xml:space="preserve">works actively with the </w:t>
      </w:r>
      <w:r w:rsidR="002A41FE" w:rsidRPr="006A686C">
        <w:rPr>
          <w:rFonts w:ascii="Garnett Light" w:eastAsia="Times New Roman" w:hAnsi="Garnett Light" w:cstheme="majorHAnsi"/>
          <w:sz w:val="20"/>
          <w:szCs w:val="20"/>
          <w:lang w:val="en-US" w:eastAsia="nb-NO"/>
        </w:rPr>
        <w:t>S</w:t>
      </w:r>
      <w:r w:rsidR="00E54A28" w:rsidRPr="006A686C">
        <w:rPr>
          <w:rFonts w:ascii="Garnett Light" w:eastAsia="Times New Roman" w:hAnsi="Garnett Light" w:cstheme="majorHAnsi"/>
          <w:sz w:val="20"/>
          <w:szCs w:val="20"/>
          <w:lang w:val="en-US" w:eastAsia="nb-NO"/>
        </w:rPr>
        <w:t>ustainab</w:t>
      </w:r>
      <w:r w:rsidR="002A41FE" w:rsidRPr="006A686C">
        <w:rPr>
          <w:rFonts w:ascii="Garnett Light" w:eastAsia="Times New Roman" w:hAnsi="Garnett Light" w:cstheme="majorHAnsi"/>
          <w:sz w:val="20"/>
          <w:szCs w:val="20"/>
          <w:lang w:val="en-US" w:eastAsia="nb-NO"/>
        </w:rPr>
        <w:t>le Development G</w:t>
      </w:r>
      <w:r w:rsidR="00E54A28" w:rsidRPr="006A686C">
        <w:rPr>
          <w:rFonts w:ascii="Garnett Light" w:eastAsia="Times New Roman" w:hAnsi="Garnett Light" w:cstheme="majorHAnsi"/>
          <w:sz w:val="20"/>
          <w:szCs w:val="20"/>
          <w:lang w:val="en-US" w:eastAsia="nb-NO"/>
        </w:rPr>
        <w:t xml:space="preserve">oals. </w:t>
      </w:r>
    </w:p>
    <w:p w14:paraId="2DFEA632" w14:textId="77777777" w:rsidR="002A41FE" w:rsidRPr="006A686C" w:rsidRDefault="002A41FE" w:rsidP="002A41FE">
      <w:pPr>
        <w:spacing w:after="0" w:line="240" w:lineRule="auto"/>
        <w:rPr>
          <w:rFonts w:ascii="Garnett Light" w:eastAsia="Times New Roman" w:hAnsi="Garnett Light" w:cstheme="majorHAnsi"/>
          <w:sz w:val="20"/>
          <w:szCs w:val="20"/>
          <w:lang w:val="en-US" w:eastAsia="nb-NO"/>
        </w:rPr>
      </w:pPr>
    </w:p>
    <w:p w14:paraId="1D3AA69B" w14:textId="4A05CA0C" w:rsidR="002A41FE" w:rsidRPr="006A686C" w:rsidRDefault="002A41FE" w:rsidP="006A686C">
      <w:pPr>
        <w:jc w:val="both"/>
        <w:rPr>
          <w:rFonts w:ascii="Garnett Light" w:eastAsia="Times New Roman" w:hAnsi="Garnett Light" w:cstheme="majorHAnsi"/>
          <w:sz w:val="20"/>
          <w:szCs w:val="20"/>
          <w:lang w:val="en-US" w:eastAsia="nb-NO"/>
        </w:rPr>
      </w:pPr>
      <w:r w:rsidRPr="006A686C">
        <w:rPr>
          <w:rFonts w:ascii="Garnett Light" w:eastAsia="Times New Roman" w:hAnsi="Garnett Light" w:cstheme="majorHAnsi"/>
          <w:sz w:val="20"/>
          <w:szCs w:val="20"/>
          <w:lang w:val="en-US" w:eastAsia="nb-NO"/>
        </w:rPr>
        <w:t xml:space="preserve">As a member of Ethical Trade Norway </w:t>
      </w:r>
      <w:r w:rsidR="006A686C" w:rsidRPr="006A686C">
        <w:rPr>
          <w:rFonts w:ascii="Garnett Light" w:hAnsi="Garnett Light" w:cstheme="majorHAnsi"/>
          <w:sz w:val="20"/>
          <w:szCs w:val="20"/>
          <w:lang w:val="en-US"/>
        </w:rPr>
        <w:t xml:space="preserve">Bokhari AS </w:t>
      </w:r>
      <w:r w:rsidRPr="006A686C">
        <w:rPr>
          <w:rFonts w:ascii="Garnett Light" w:eastAsia="Times New Roman" w:hAnsi="Garnett Light" w:cstheme="majorHAnsi"/>
          <w:sz w:val="20"/>
          <w:szCs w:val="20"/>
          <w:lang w:val="en-US" w:eastAsia="nb-NO"/>
        </w:rPr>
        <w:t xml:space="preserve">commits to working actively with due </w:t>
      </w:r>
      <w:r w:rsidR="00D26546" w:rsidRPr="006A686C">
        <w:rPr>
          <w:rFonts w:ascii="Garnett Light" w:eastAsia="Times New Roman" w:hAnsi="Garnett Light" w:cstheme="majorHAnsi"/>
          <w:sz w:val="20"/>
          <w:szCs w:val="20"/>
          <w:lang w:val="en-US" w:eastAsia="nb-NO"/>
        </w:rPr>
        <w:t>diligence</w:t>
      </w:r>
      <w:r w:rsidRPr="006A686C">
        <w:rPr>
          <w:rFonts w:ascii="Garnett Light" w:eastAsia="Times New Roman" w:hAnsi="Garnett Light" w:cstheme="majorHAnsi"/>
          <w:sz w:val="20"/>
          <w:szCs w:val="20"/>
          <w:lang w:val="en-US" w:eastAsia="nb-NO"/>
        </w:rPr>
        <w:t xml:space="preserve"> for responsible business conduct</w:t>
      </w:r>
      <w:r w:rsidRPr="006A686C">
        <w:rPr>
          <w:rStyle w:val="Fotnotereferanse"/>
          <w:rFonts w:ascii="Garnett Light" w:hAnsi="Garnett Light" w:cstheme="majorHAnsi"/>
          <w:sz w:val="20"/>
          <w:szCs w:val="20"/>
          <w:lang w:eastAsia="nb-NO"/>
        </w:rPr>
        <w:footnoteReference w:id="3"/>
      </w:r>
      <w:r w:rsidRPr="006A686C">
        <w:rPr>
          <w:rFonts w:ascii="Garnett Light" w:eastAsia="Times New Roman" w:hAnsi="Garnett Light" w:cstheme="majorHAnsi"/>
          <w:sz w:val="20"/>
          <w:szCs w:val="20"/>
          <w:lang w:val="en-US" w:eastAsia="nb-NO"/>
        </w:rPr>
        <w:t xml:space="preserve">. Due diligence is a risk-based approach to respect and safeguard people, society and the environment in our own business and throughout the supply chain. We expect our suppliers and partners to follow the same approach. </w:t>
      </w:r>
    </w:p>
    <w:p w14:paraId="6761EFC8" w14:textId="77777777" w:rsidR="0026188B" w:rsidRPr="006A686C" w:rsidRDefault="005911C0" w:rsidP="005911C0">
      <w:pPr>
        <w:pStyle w:val="Overskrift2"/>
        <w:rPr>
          <w:rFonts w:ascii="Garnett Light" w:hAnsi="Garnett Light"/>
          <w:b/>
          <w:bCs/>
          <w:color w:val="auto"/>
          <w:sz w:val="20"/>
          <w:szCs w:val="20"/>
          <w:lang w:val="en-US"/>
        </w:rPr>
      </w:pPr>
      <w:r w:rsidRPr="006A686C">
        <w:rPr>
          <w:rFonts w:ascii="Garnett Light" w:hAnsi="Garnett Light"/>
          <w:b/>
          <w:bCs/>
          <w:color w:val="auto"/>
          <w:sz w:val="20"/>
          <w:szCs w:val="20"/>
          <w:lang w:val="en-US"/>
        </w:rPr>
        <w:t>Requirements - own business</w:t>
      </w:r>
    </w:p>
    <w:p w14:paraId="3338C351" w14:textId="3E147959" w:rsidR="005911C0" w:rsidRPr="006A686C" w:rsidRDefault="006A686C" w:rsidP="006A686C">
      <w:pPr>
        <w:spacing w:after="0" w:line="240" w:lineRule="auto"/>
        <w:jc w:val="both"/>
        <w:rPr>
          <w:rFonts w:ascii="Garnett Light" w:eastAsia="Times New Roman" w:hAnsi="Garnett Light" w:cstheme="majorHAnsi"/>
          <w:sz w:val="20"/>
          <w:szCs w:val="20"/>
          <w:lang w:val="en-US" w:eastAsia="nb-NO"/>
        </w:rPr>
      </w:pPr>
      <w:r w:rsidRPr="006A686C">
        <w:rPr>
          <w:rFonts w:ascii="Garnett Light" w:hAnsi="Garnett Light" w:cstheme="majorHAnsi"/>
          <w:sz w:val="20"/>
          <w:szCs w:val="20"/>
          <w:lang w:val="en-US"/>
        </w:rPr>
        <w:t xml:space="preserve">Bokhari AS </w:t>
      </w:r>
      <w:r w:rsidR="005911C0" w:rsidRPr="006A686C">
        <w:rPr>
          <w:rFonts w:ascii="Garnett Light" w:eastAsia="Times New Roman" w:hAnsi="Garnett Light" w:cstheme="majorHAnsi"/>
          <w:sz w:val="20"/>
          <w:szCs w:val="20"/>
          <w:lang w:val="en-US" w:eastAsia="nb-NO"/>
        </w:rPr>
        <w:t xml:space="preserve">acknowledges that our business conduct can potentially have </w:t>
      </w:r>
      <w:proofErr w:type="gramStart"/>
      <w:r w:rsidR="005911C0" w:rsidRPr="006A686C">
        <w:rPr>
          <w:rFonts w:ascii="Garnett Light" w:eastAsia="Times New Roman" w:hAnsi="Garnett Light" w:cstheme="majorHAnsi"/>
          <w:sz w:val="20"/>
          <w:szCs w:val="20"/>
          <w:lang w:val="en-US" w:eastAsia="nb-NO"/>
        </w:rPr>
        <w:t>negative</w:t>
      </w:r>
      <w:proofErr w:type="gramEnd"/>
      <w:r w:rsidR="005911C0" w:rsidRPr="006A686C">
        <w:rPr>
          <w:rFonts w:ascii="Garnett Light" w:eastAsia="Times New Roman" w:hAnsi="Garnett Light" w:cstheme="majorHAnsi"/>
          <w:sz w:val="20"/>
          <w:szCs w:val="20"/>
          <w:lang w:val="en-US" w:eastAsia="nb-NO"/>
        </w:rPr>
        <w:t xml:space="preserve"> impact on people, society and the environment. At the same time, we see the potential to contribute to positive development in the supply chain. With this in mind, we have compiled the following principles and criteria guiding our own business:</w:t>
      </w:r>
    </w:p>
    <w:p w14:paraId="23A9D757" w14:textId="77777777" w:rsidR="005911C0" w:rsidRPr="006A686C" w:rsidRDefault="005911C0" w:rsidP="005911C0">
      <w:pPr>
        <w:spacing w:after="0" w:line="240" w:lineRule="auto"/>
        <w:rPr>
          <w:rFonts w:ascii="Garnett Light" w:hAnsi="Garnett Light"/>
          <w:sz w:val="20"/>
          <w:szCs w:val="20"/>
          <w:lang w:val="en-US"/>
        </w:rPr>
      </w:pPr>
    </w:p>
    <w:p w14:paraId="45B6E113" w14:textId="77777777" w:rsidR="0026188B" w:rsidRPr="006A686C" w:rsidRDefault="005911C0" w:rsidP="005911C0">
      <w:pPr>
        <w:pStyle w:val="Overskrift3"/>
        <w:rPr>
          <w:rFonts w:ascii="Garnett Light" w:hAnsi="Garnett Light"/>
          <w:b/>
          <w:bCs/>
          <w:color w:val="auto"/>
          <w:sz w:val="20"/>
          <w:szCs w:val="20"/>
        </w:rPr>
      </w:pPr>
      <w:r w:rsidRPr="006A686C">
        <w:rPr>
          <w:rFonts w:ascii="Garnett Light" w:hAnsi="Garnett Light"/>
          <w:b/>
          <w:bCs/>
          <w:color w:val="auto"/>
          <w:sz w:val="20"/>
          <w:szCs w:val="20"/>
        </w:rPr>
        <w:t>Due diligence</w:t>
      </w:r>
    </w:p>
    <w:tbl>
      <w:tblPr>
        <w:tblW w:w="8740" w:type="dxa"/>
        <w:tblCellMar>
          <w:left w:w="0" w:type="dxa"/>
          <w:right w:w="0" w:type="dxa"/>
        </w:tblCellMar>
        <w:tblLook w:val="04A0" w:firstRow="1" w:lastRow="0" w:firstColumn="1" w:lastColumn="0" w:noHBand="0" w:noVBand="1"/>
      </w:tblPr>
      <w:tblGrid>
        <w:gridCol w:w="8740"/>
      </w:tblGrid>
      <w:tr w:rsidR="006A686C" w:rsidRPr="006A686C" w14:paraId="2CA47458" w14:textId="77777777" w:rsidTr="005911C0">
        <w:trPr>
          <w:trHeight w:val="2016"/>
        </w:trPr>
        <w:tc>
          <w:tcPr>
            <w:tcW w:w="8740" w:type="dxa"/>
            <w:tcBorders>
              <w:top w:val="nil"/>
              <w:left w:val="nil"/>
              <w:bottom w:val="nil"/>
              <w:right w:val="nil"/>
            </w:tcBorders>
            <w:shd w:val="clear" w:color="auto" w:fill="auto"/>
            <w:tcMar>
              <w:top w:w="15" w:type="dxa"/>
              <w:left w:w="15" w:type="dxa"/>
              <w:bottom w:w="0" w:type="dxa"/>
              <w:right w:w="15" w:type="dxa"/>
            </w:tcMar>
            <w:hideMark/>
          </w:tcPr>
          <w:p w14:paraId="13E55FC9" w14:textId="1708FE8E" w:rsidR="00E702D4" w:rsidRPr="006A686C" w:rsidRDefault="006A686C" w:rsidP="006A686C">
            <w:pPr>
              <w:jc w:val="both"/>
              <w:rPr>
                <w:rFonts w:ascii="Garnett Light" w:hAnsi="Garnett Light" w:cstheme="majorHAnsi"/>
                <w:sz w:val="20"/>
                <w:szCs w:val="20"/>
                <w:lang w:val="en-US"/>
              </w:rPr>
            </w:pPr>
            <w:bookmarkStart w:id="3" w:name="_Hlk26367155"/>
            <w:r w:rsidRPr="006A686C">
              <w:rPr>
                <w:rFonts w:ascii="Garnett Light" w:hAnsi="Garnett Light" w:cstheme="majorHAnsi"/>
                <w:sz w:val="20"/>
                <w:szCs w:val="20"/>
                <w:lang w:val="en-US"/>
              </w:rPr>
              <w:t xml:space="preserve">Bokhari AS </w:t>
            </w:r>
            <w:r w:rsidR="005911C0" w:rsidRPr="006A686C">
              <w:rPr>
                <w:rFonts w:ascii="Garnett Light" w:hAnsi="Garnett Light" w:cstheme="majorHAnsi"/>
                <w:sz w:val="20"/>
                <w:szCs w:val="20"/>
                <w:lang w:val="en-US"/>
              </w:rPr>
              <w:t xml:space="preserve">shall conduct due diligence for responsible business conduct. This </w:t>
            </w:r>
            <w:proofErr w:type="gramStart"/>
            <w:r w:rsidR="005911C0" w:rsidRPr="006A686C">
              <w:rPr>
                <w:rFonts w:ascii="Garnett Light" w:hAnsi="Garnett Light" w:cstheme="majorHAnsi"/>
                <w:sz w:val="20"/>
                <w:szCs w:val="20"/>
                <w:lang w:val="en-US"/>
              </w:rPr>
              <w:t>involves;</w:t>
            </w:r>
            <w:proofErr w:type="gramEnd"/>
            <w:r w:rsidR="005911C0" w:rsidRPr="006A686C">
              <w:rPr>
                <w:rFonts w:ascii="Garnett Light" w:hAnsi="Garnett Light" w:cstheme="majorHAnsi"/>
                <w:sz w:val="20"/>
                <w:szCs w:val="20"/>
                <w:lang w:val="en-US"/>
              </w:rPr>
              <w:t xml:space="preserve"> conducting risk assessments to identify </w:t>
            </w:r>
            <w:r w:rsidR="009D3FA3" w:rsidRPr="006A686C">
              <w:rPr>
                <w:rFonts w:ascii="Garnett Light" w:hAnsi="Garnett Light" w:cstheme="majorHAnsi"/>
                <w:sz w:val="20"/>
                <w:szCs w:val="20"/>
                <w:lang w:val="en-US"/>
              </w:rPr>
              <w:t>potential negative impact on people, society and the environment and to stop, prevent and reduce such impact. The measures put in place are monitored and their effect evaluated. The measures are communicated to those affected by our actions. If our activities are found to cause or contribute to negative impact on people, society or the environment, we will stop the activities and seek to provide remedy. If our supplier is responsible for the negative impact, the supplier is responsible for providing remedy</w:t>
            </w:r>
            <w:r w:rsidR="009D3FA3" w:rsidRPr="006A686C">
              <w:rPr>
                <w:rFonts w:ascii="Garnett Light" w:hAnsi="Garnett Light" w:cstheme="majorHAnsi"/>
                <w:sz w:val="20"/>
                <w:szCs w:val="20"/>
                <w:lang w:val="en-US" w:eastAsia="nb-NO"/>
              </w:rPr>
              <w:t>.</w:t>
            </w:r>
            <w:r w:rsidR="009D3FA3" w:rsidRPr="006A686C">
              <w:rPr>
                <w:rStyle w:val="Fotnotereferanse"/>
                <w:rFonts w:ascii="Garnett Light" w:hAnsi="Garnett Light" w:cstheme="majorHAnsi"/>
                <w:sz w:val="20"/>
                <w:szCs w:val="20"/>
                <w:lang w:eastAsia="nb-NO"/>
              </w:rPr>
              <w:footnoteReference w:id="4"/>
            </w:r>
            <w:r w:rsidR="009D3FA3" w:rsidRPr="006A686C">
              <w:rPr>
                <w:rFonts w:ascii="Garnett Light" w:hAnsi="Garnett Light" w:cstheme="majorHAnsi"/>
                <w:sz w:val="20"/>
                <w:szCs w:val="20"/>
                <w:lang w:val="en-US" w:eastAsia="nb-NO"/>
              </w:rPr>
              <w:t xml:space="preserve"> </w:t>
            </w:r>
            <w:bookmarkEnd w:id="3"/>
          </w:p>
        </w:tc>
      </w:tr>
    </w:tbl>
    <w:p w14:paraId="3C101F1F" w14:textId="77777777" w:rsidR="0026188B" w:rsidRPr="006A686C" w:rsidRDefault="00FA42C5" w:rsidP="00464A5E">
      <w:pPr>
        <w:pStyle w:val="Overskrift3"/>
        <w:rPr>
          <w:rFonts w:ascii="Garnett Light" w:hAnsi="Garnett Light"/>
          <w:b/>
          <w:bCs/>
          <w:color w:val="auto"/>
          <w:sz w:val="20"/>
          <w:szCs w:val="20"/>
          <w:lang w:val="en-US"/>
        </w:rPr>
      </w:pPr>
      <w:r w:rsidRPr="006A686C">
        <w:rPr>
          <w:rFonts w:ascii="Garnett Light" w:hAnsi="Garnett Light"/>
          <w:b/>
          <w:bCs/>
          <w:color w:val="auto"/>
          <w:sz w:val="20"/>
          <w:szCs w:val="20"/>
          <w:lang w:val="en-GB"/>
        </w:rPr>
        <w:lastRenderedPageBreak/>
        <w:t>Responsible purchasing practices</w:t>
      </w:r>
    </w:p>
    <w:p w14:paraId="5186C938" w14:textId="15E1B37C" w:rsidR="0026188B" w:rsidRPr="006A686C" w:rsidRDefault="006A686C" w:rsidP="006A686C">
      <w:pPr>
        <w:jc w:val="both"/>
        <w:rPr>
          <w:rFonts w:ascii="Garnett Light" w:eastAsia="Times New Roman" w:hAnsi="Garnett Light" w:cstheme="majorHAnsi"/>
          <w:sz w:val="20"/>
          <w:szCs w:val="20"/>
          <w:lang w:val="en-US" w:eastAsia="nb-NO"/>
        </w:rPr>
      </w:pPr>
      <w:bookmarkStart w:id="4" w:name="_Hlk26536841"/>
      <w:r w:rsidRPr="006A686C">
        <w:rPr>
          <w:rFonts w:ascii="Garnett Light" w:hAnsi="Garnett Light" w:cstheme="majorHAnsi"/>
          <w:sz w:val="20"/>
          <w:szCs w:val="20"/>
          <w:lang w:val="en-US"/>
        </w:rPr>
        <w:t>Bokhari AS</w:t>
      </w:r>
      <w:r w:rsidR="00FA42C5" w:rsidRPr="006A686C">
        <w:rPr>
          <w:rFonts w:ascii="Garnett Light" w:eastAsia="Times New Roman" w:hAnsi="Garnett Light" w:cstheme="majorHAnsi"/>
          <w:sz w:val="20"/>
          <w:szCs w:val="20"/>
          <w:lang w:val="en-US" w:eastAsia="nb-NO"/>
        </w:rPr>
        <w:t xml:space="preserve"> considers responsible purchasing practices to be one of our most important tools for responsible business conduct. </w:t>
      </w:r>
      <w:r w:rsidRPr="006A686C">
        <w:rPr>
          <w:rFonts w:ascii="Garnett Light" w:hAnsi="Garnett Light" w:cstheme="majorHAnsi"/>
          <w:sz w:val="20"/>
          <w:szCs w:val="20"/>
          <w:lang w:val="en-US"/>
        </w:rPr>
        <w:t xml:space="preserve">Bokhari AS </w:t>
      </w:r>
      <w:r w:rsidR="00FA42C5" w:rsidRPr="006A686C">
        <w:rPr>
          <w:rFonts w:ascii="Garnett Light" w:eastAsia="Times New Roman" w:hAnsi="Garnett Light" w:cstheme="majorHAnsi"/>
          <w:sz w:val="20"/>
          <w:szCs w:val="20"/>
          <w:lang w:val="en-US" w:eastAsia="nb-NO"/>
        </w:rPr>
        <w:t xml:space="preserve">shall </w:t>
      </w:r>
      <w:proofErr w:type="gramStart"/>
      <w:r w:rsidR="00FA42C5" w:rsidRPr="006A686C">
        <w:rPr>
          <w:rFonts w:ascii="Garnett Light" w:eastAsia="Times New Roman" w:hAnsi="Garnett Light" w:cstheme="majorHAnsi"/>
          <w:sz w:val="20"/>
          <w:szCs w:val="20"/>
          <w:lang w:val="en-US" w:eastAsia="nb-NO"/>
        </w:rPr>
        <w:t>adapt</w:t>
      </w:r>
      <w:proofErr w:type="gramEnd"/>
      <w:r w:rsidR="00FA42C5" w:rsidRPr="006A686C">
        <w:rPr>
          <w:rFonts w:ascii="Garnett Light" w:eastAsia="Times New Roman" w:hAnsi="Garnett Light" w:cstheme="majorHAnsi"/>
          <w:sz w:val="20"/>
          <w:szCs w:val="20"/>
          <w:lang w:val="en-US" w:eastAsia="nb-NO"/>
        </w:rPr>
        <w:t xml:space="preserve"> our purchasing practices </w:t>
      </w:r>
      <w:proofErr w:type="gramStart"/>
      <w:r w:rsidR="00FA42C5" w:rsidRPr="006A686C">
        <w:rPr>
          <w:rFonts w:ascii="Garnett Light" w:eastAsia="Times New Roman" w:hAnsi="Garnett Light" w:cstheme="majorHAnsi"/>
          <w:sz w:val="20"/>
          <w:szCs w:val="20"/>
          <w:lang w:val="en-US" w:eastAsia="nb-NO"/>
        </w:rPr>
        <w:t>in order to</w:t>
      </w:r>
      <w:proofErr w:type="gramEnd"/>
      <w:r w:rsidR="00FA42C5" w:rsidRPr="006A686C">
        <w:rPr>
          <w:rFonts w:ascii="Garnett Light" w:eastAsia="Times New Roman" w:hAnsi="Garnett Light" w:cstheme="majorHAnsi"/>
          <w:sz w:val="20"/>
          <w:szCs w:val="20"/>
          <w:lang w:val="en-US" w:eastAsia="nb-NO"/>
        </w:rPr>
        <w:t xml:space="preserve"> strengthen, and not undermine, our suppliers’ ability to deliver on our requirements related to people, society and the environment. We strive towards lasting supplier relationships with suppliers who show a particular willingness and ability to create positive developments in the supply chain. </w:t>
      </w:r>
      <w:bookmarkEnd w:id="4"/>
    </w:p>
    <w:p w14:paraId="3AE244D5" w14:textId="77777777" w:rsidR="0026188B" w:rsidRPr="006A686C" w:rsidRDefault="00A22D17" w:rsidP="00A22D17">
      <w:pPr>
        <w:pStyle w:val="Overskrift3"/>
        <w:rPr>
          <w:rFonts w:ascii="Garnett Light" w:hAnsi="Garnett Light"/>
          <w:b/>
          <w:bCs/>
          <w:color w:val="auto"/>
          <w:sz w:val="20"/>
          <w:szCs w:val="20"/>
          <w:lang w:val="en-US"/>
        </w:rPr>
      </w:pPr>
      <w:r w:rsidRPr="006A686C">
        <w:rPr>
          <w:rFonts w:ascii="Garnett Light" w:hAnsi="Garnett Light"/>
          <w:b/>
          <w:bCs/>
          <w:color w:val="auto"/>
          <w:sz w:val="20"/>
          <w:szCs w:val="20"/>
          <w:lang w:val="en-US"/>
        </w:rPr>
        <w:t>Freedom of association and worker representation</w:t>
      </w:r>
    </w:p>
    <w:p w14:paraId="157770E7" w14:textId="23FA99A3" w:rsidR="00A22D17" w:rsidRPr="006A686C" w:rsidRDefault="006A686C" w:rsidP="00A721E0">
      <w:pPr>
        <w:spacing w:after="0" w:line="240" w:lineRule="auto"/>
        <w:rPr>
          <w:rFonts w:ascii="Garnett Light" w:eastAsia="Times New Roman" w:hAnsi="Garnett Light" w:cstheme="majorHAnsi"/>
          <w:sz w:val="20"/>
          <w:szCs w:val="20"/>
          <w:lang w:val="en-US" w:eastAsia="nb-NO"/>
        </w:rPr>
      </w:pPr>
      <w:r w:rsidRPr="006A686C">
        <w:rPr>
          <w:rFonts w:ascii="Garnett Light" w:hAnsi="Garnett Light" w:cstheme="majorHAnsi"/>
          <w:sz w:val="20"/>
          <w:szCs w:val="20"/>
          <w:lang w:val="en-US"/>
        </w:rPr>
        <w:t xml:space="preserve">Bokhari AS </w:t>
      </w:r>
      <w:r w:rsidR="00A22D17" w:rsidRPr="006A686C">
        <w:rPr>
          <w:rFonts w:ascii="Garnett Light" w:eastAsia="Times New Roman" w:hAnsi="Garnett Light" w:cstheme="majorHAnsi"/>
          <w:sz w:val="20"/>
          <w:szCs w:val="20"/>
          <w:lang w:val="en-US" w:eastAsia="nb-NO"/>
        </w:rPr>
        <w:t xml:space="preserve">supports the right to freedom of association and other forms of democratically elected worker representation. We shall involve worker representatives and other relevant stakeholders in our work with responsible business conduct. </w:t>
      </w:r>
    </w:p>
    <w:p w14:paraId="2233195F" w14:textId="77777777" w:rsidR="00A721E0" w:rsidRPr="006A686C" w:rsidRDefault="00A721E0" w:rsidP="00A721E0">
      <w:pPr>
        <w:spacing w:after="0" w:line="240" w:lineRule="auto"/>
        <w:rPr>
          <w:rFonts w:ascii="Garnett Light" w:eastAsia="Times New Roman" w:hAnsi="Garnett Light" w:cstheme="majorHAnsi"/>
          <w:sz w:val="20"/>
          <w:szCs w:val="20"/>
          <w:lang w:val="en-US" w:eastAsia="nb-NO"/>
        </w:rPr>
      </w:pPr>
    </w:p>
    <w:p w14:paraId="1D6127FB" w14:textId="77777777" w:rsidR="0026188B" w:rsidRPr="006A686C" w:rsidRDefault="00ED64E6" w:rsidP="00464A5E">
      <w:pPr>
        <w:pStyle w:val="Overskrift3"/>
        <w:rPr>
          <w:rFonts w:ascii="Garnett Light" w:hAnsi="Garnett Light"/>
          <w:b/>
          <w:bCs/>
          <w:color w:val="auto"/>
          <w:sz w:val="20"/>
          <w:szCs w:val="20"/>
          <w:lang w:val="en-US"/>
        </w:rPr>
      </w:pPr>
      <w:r w:rsidRPr="006A686C">
        <w:rPr>
          <w:rFonts w:ascii="Garnett Light" w:hAnsi="Garnett Light"/>
          <w:b/>
          <w:bCs/>
          <w:color w:val="auto"/>
          <w:sz w:val="20"/>
          <w:szCs w:val="20"/>
          <w:lang w:val="en-US"/>
        </w:rPr>
        <w:t>Supplier development and partnership</w:t>
      </w:r>
    </w:p>
    <w:p w14:paraId="33479330" w14:textId="12377E33" w:rsidR="00A721E0" w:rsidRPr="006A686C" w:rsidRDefault="00ED64E6" w:rsidP="00ED64E6">
      <w:pPr>
        <w:spacing w:after="0" w:line="240" w:lineRule="auto"/>
        <w:rPr>
          <w:rFonts w:ascii="Garnett Light" w:eastAsia="Times New Roman" w:hAnsi="Garnett Light" w:cstheme="majorHAnsi"/>
          <w:sz w:val="20"/>
          <w:szCs w:val="20"/>
          <w:lang w:val="en-US" w:eastAsia="nb-NO"/>
        </w:rPr>
      </w:pPr>
      <w:r w:rsidRPr="006A686C">
        <w:rPr>
          <w:rFonts w:ascii="Garnett Light" w:eastAsia="Times New Roman" w:hAnsi="Garnett Light" w:cstheme="majorHAnsi"/>
          <w:sz w:val="20"/>
          <w:szCs w:val="20"/>
          <w:lang w:val="en-US" w:eastAsia="nb-NO"/>
        </w:rPr>
        <w:t xml:space="preserve">In dialogue with </w:t>
      </w:r>
      <w:proofErr w:type="gramStart"/>
      <w:r w:rsidRPr="006A686C">
        <w:rPr>
          <w:rFonts w:ascii="Garnett Light" w:eastAsia="Times New Roman" w:hAnsi="Garnett Light" w:cstheme="majorHAnsi"/>
          <w:sz w:val="20"/>
          <w:szCs w:val="20"/>
          <w:lang w:val="en-US" w:eastAsia="nb-NO"/>
        </w:rPr>
        <w:t>suppliers</w:t>
      </w:r>
      <w:proofErr w:type="gramEnd"/>
      <w:r w:rsidRPr="006A686C">
        <w:rPr>
          <w:rFonts w:ascii="Garnett Light" w:eastAsia="Times New Roman" w:hAnsi="Garnett Light" w:cstheme="majorHAnsi"/>
          <w:sz w:val="20"/>
          <w:szCs w:val="20"/>
          <w:lang w:val="en-US" w:eastAsia="nb-NO"/>
        </w:rPr>
        <w:t xml:space="preserve"> we will consider, if needed, </w:t>
      </w:r>
      <w:proofErr w:type="gramStart"/>
      <w:r w:rsidRPr="006A686C">
        <w:rPr>
          <w:rFonts w:ascii="Garnett Light" w:eastAsia="Times New Roman" w:hAnsi="Garnett Light" w:cstheme="majorHAnsi"/>
          <w:sz w:val="20"/>
          <w:szCs w:val="20"/>
          <w:lang w:val="en-US" w:eastAsia="nb-NO"/>
        </w:rPr>
        <w:t>to contribute</w:t>
      </w:r>
      <w:proofErr w:type="gramEnd"/>
      <w:r w:rsidRPr="006A686C">
        <w:rPr>
          <w:rFonts w:ascii="Garnett Light" w:eastAsia="Times New Roman" w:hAnsi="Garnett Light" w:cstheme="majorHAnsi"/>
          <w:sz w:val="20"/>
          <w:szCs w:val="20"/>
          <w:lang w:val="en-US" w:eastAsia="nb-NO"/>
        </w:rPr>
        <w:t xml:space="preserve"> with capacity building or resources that enable our suppliers to comply with </w:t>
      </w:r>
      <w:r w:rsidR="006A686C" w:rsidRPr="006A686C">
        <w:rPr>
          <w:rFonts w:ascii="Garnett Light" w:hAnsi="Garnett Light" w:cstheme="majorHAnsi"/>
          <w:sz w:val="20"/>
          <w:szCs w:val="20"/>
          <w:lang w:val="en-US"/>
        </w:rPr>
        <w:t>Bokhari AS</w:t>
      </w:r>
      <w:r w:rsidRPr="006A686C">
        <w:rPr>
          <w:rFonts w:ascii="Garnett Light" w:eastAsia="Times New Roman" w:hAnsi="Garnett Light" w:cstheme="majorHAnsi"/>
          <w:i/>
          <w:iCs/>
          <w:sz w:val="20"/>
          <w:szCs w:val="20"/>
          <w:lang w:val="en-US" w:eastAsia="nb-NO"/>
        </w:rPr>
        <w:t xml:space="preserve">’s </w:t>
      </w:r>
      <w:r w:rsidRPr="006A686C">
        <w:rPr>
          <w:rFonts w:ascii="Garnett Light" w:eastAsia="Times New Roman" w:hAnsi="Garnett Light" w:cstheme="majorHAnsi"/>
          <w:sz w:val="20"/>
          <w:szCs w:val="20"/>
          <w:lang w:val="en-US" w:eastAsia="nb-NO"/>
        </w:rPr>
        <w:t>requirements</w:t>
      </w:r>
      <w:r w:rsidRPr="006A686C">
        <w:rPr>
          <w:rFonts w:ascii="Garnett Light" w:eastAsia="Times New Roman" w:hAnsi="Garnett Light" w:cstheme="majorHAnsi"/>
          <w:i/>
          <w:iCs/>
          <w:sz w:val="20"/>
          <w:szCs w:val="20"/>
          <w:lang w:val="en-US" w:eastAsia="nb-NO"/>
        </w:rPr>
        <w:t xml:space="preserve"> </w:t>
      </w:r>
      <w:r w:rsidRPr="006A686C">
        <w:rPr>
          <w:rFonts w:ascii="Garnett Light" w:eastAsia="Times New Roman" w:hAnsi="Garnett Light" w:cstheme="majorHAnsi"/>
          <w:sz w:val="20"/>
          <w:szCs w:val="20"/>
          <w:lang w:val="en-US" w:eastAsia="nb-NO"/>
        </w:rPr>
        <w:t xml:space="preserve">related to responsible business conduct. This way we lay the foundation for collaboration with suppliers that show the willingness and ability to work on positive development for people, society and the environment in the supply chain. </w:t>
      </w:r>
    </w:p>
    <w:p w14:paraId="6D39754A" w14:textId="77777777" w:rsidR="006A686C" w:rsidRDefault="006A686C" w:rsidP="001E2DA9">
      <w:pPr>
        <w:pStyle w:val="Overskrift3"/>
        <w:rPr>
          <w:rFonts w:ascii="Garnett Light" w:hAnsi="Garnett Light"/>
          <w:color w:val="auto"/>
          <w:sz w:val="20"/>
          <w:szCs w:val="20"/>
        </w:rPr>
      </w:pPr>
    </w:p>
    <w:p w14:paraId="5C5D6D31" w14:textId="17D1F890" w:rsidR="006A686C" w:rsidRPr="006A686C" w:rsidRDefault="006A686C" w:rsidP="001E2DA9">
      <w:pPr>
        <w:pStyle w:val="Overskrift3"/>
        <w:rPr>
          <w:rFonts w:ascii="Garnett Light" w:hAnsi="Garnett Light"/>
          <w:b/>
          <w:bCs/>
          <w:color w:val="auto"/>
          <w:sz w:val="20"/>
          <w:szCs w:val="20"/>
        </w:rPr>
      </w:pPr>
      <w:r w:rsidRPr="006A686C">
        <w:rPr>
          <w:rFonts w:ascii="Garnett Light" w:hAnsi="Garnett Light"/>
          <w:b/>
          <w:bCs/>
          <w:color w:val="auto"/>
          <w:sz w:val="20"/>
          <w:szCs w:val="20"/>
        </w:rPr>
        <w:t>Anti-</w:t>
      </w:r>
      <w:proofErr w:type="spellStart"/>
      <w:r w:rsidRPr="006A686C">
        <w:rPr>
          <w:rFonts w:ascii="Garnett Light" w:hAnsi="Garnett Light"/>
          <w:b/>
          <w:bCs/>
          <w:color w:val="auto"/>
          <w:sz w:val="20"/>
          <w:szCs w:val="20"/>
        </w:rPr>
        <w:t>corruption</w:t>
      </w:r>
      <w:proofErr w:type="spellEnd"/>
    </w:p>
    <w:p w14:paraId="06507CFE" w14:textId="0BE7F2E2" w:rsidR="006A686C" w:rsidRDefault="006A686C" w:rsidP="001E2DA9">
      <w:pPr>
        <w:pStyle w:val="Overskrift3"/>
        <w:rPr>
          <w:rFonts w:ascii="Garnett Light" w:hAnsi="Garnett Light" w:cstheme="majorHAnsi"/>
          <w:color w:val="auto"/>
          <w:sz w:val="20"/>
          <w:szCs w:val="20"/>
          <w:lang w:val="en-US"/>
        </w:rPr>
      </w:pPr>
      <w:r w:rsidRPr="006A686C">
        <w:rPr>
          <w:rFonts w:ascii="Garnett Light" w:hAnsi="Garnett Light" w:cstheme="majorHAnsi"/>
          <w:color w:val="auto"/>
          <w:sz w:val="20"/>
          <w:szCs w:val="20"/>
          <w:lang w:val="en-US"/>
        </w:rPr>
        <w:t xml:space="preserve">Bokhari AS, including all employees, shall never offer or receive illegal or inappropriate monetary gifts or other remuneration to achieve private or business benefits in their own interest or in the interest of customers, agents or suppliers. </w:t>
      </w:r>
    </w:p>
    <w:p w14:paraId="6CFBAB62" w14:textId="77777777" w:rsidR="006A686C" w:rsidRDefault="006A686C" w:rsidP="001E2DA9">
      <w:pPr>
        <w:pStyle w:val="Overskrift3"/>
        <w:rPr>
          <w:rFonts w:ascii="Garnett Light" w:hAnsi="Garnett Light" w:cstheme="majorHAnsi"/>
          <w:color w:val="auto"/>
          <w:sz w:val="20"/>
          <w:szCs w:val="20"/>
          <w:lang w:val="en-US"/>
        </w:rPr>
      </w:pPr>
    </w:p>
    <w:p w14:paraId="18A59D16" w14:textId="58D7E1BB" w:rsidR="0026188B" w:rsidRPr="006A686C" w:rsidRDefault="001E2DA9" w:rsidP="001E2DA9">
      <w:pPr>
        <w:pStyle w:val="Overskrift3"/>
        <w:rPr>
          <w:rFonts w:ascii="Garnett Light" w:hAnsi="Garnett Light"/>
          <w:b/>
          <w:bCs/>
          <w:color w:val="auto"/>
          <w:sz w:val="20"/>
          <w:szCs w:val="20"/>
          <w:lang w:val="en-US"/>
        </w:rPr>
      </w:pPr>
      <w:r w:rsidRPr="006A686C">
        <w:rPr>
          <w:rFonts w:ascii="Garnett Light" w:hAnsi="Garnett Light"/>
          <w:b/>
          <w:bCs/>
          <w:color w:val="auto"/>
          <w:sz w:val="20"/>
          <w:szCs w:val="20"/>
          <w:lang w:val="en-US"/>
        </w:rPr>
        <w:t>Countries affected by trade boycott</w:t>
      </w:r>
    </w:p>
    <w:p w14:paraId="24881C40" w14:textId="0E8360C8" w:rsidR="001E2DA9" w:rsidRPr="006A686C" w:rsidRDefault="006A686C" w:rsidP="001E2DA9">
      <w:pPr>
        <w:spacing w:after="0" w:line="240" w:lineRule="auto"/>
        <w:rPr>
          <w:rFonts w:ascii="Garnett Light" w:eastAsia="Times New Roman" w:hAnsi="Garnett Light" w:cstheme="majorHAnsi"/>
          <w:sz w:val="20"/>
          <w:szCs w:val="20"/>
          <w:lang w:val="en-US" w:eastAsia="nb-NO"/>
        </w:rPr>
      </w:pPr>
      <w:bookmarkStart w:id="5" w:name="_Hlk26538371"/>
      <w:r w:rsidRPr="006A686C">
        <w:rPr>
          <w:rFonts w:ascii="Garnett Light" w:hAnsi="Garnett Light" w:cstheme="majorHAnsi"/>
          <w:sz w:val="20"/>
          <w:szCs w:val="20"/>
          <w:lang w:val="en-US"/>
        </w:rPr>
        <w:t>Bokhari AS</w:t>
      </w:r>
      <w:r w:rsidR="001E2DA9" w:rsidRPr="006A686C">
        <w:rPr>
          <w:rFonts w:ascii="Garnett Light" w:eastAsia="Times New Roman" w:hAnsi="Garnett Light" w:cstheme="majorHAnsi"/>
          <w:sz w:val="20"/>
          <w:szCs w:val="20"/>
          <w:lang w:val="en-US" w:eastAsia="nb-NO"/>
        </w:rPr>
        <w:t>, including all our suppliers and partners, shall avoid trading with partners that have activities in countries where a trade boycott is imposed by the UN and/or Norwegian Government authorities.</w:t>
      </w:r>
    </w:p>
    <w:bookmarkEnd w:id="5"/>
    <w:p w14:paraId="4F9539A0" w14:textId="77777777" w:rsidR="00D26546" w:rsidRPr="006A686C" w:rsidRDefault="00D26546" w:rsidP="0026188B">
      <w:pPr>
        <w:pStyle w:val="Overskrift3"/>
        <w:rPr>
          <w:rFonts w:ascii="Garnett Light" w:hAnsi="Garnett Light"/>
          <w:b/>
          <w:bCs/>
          <w:color w:val="auto"/>
          <w:sz w:val="20"/>
          <w:szCs w:val="20"/>
          <w:lang w:val="en-US"/>
        </w:rPr>
      </w:pPr>
    </w:p>
    <w:p w14:paraId="14B09320" w14:textId="50906C3D" w:rsidR="0026188B" w:rsidRPr="006A686C" w:rsidRDefault="001E2DA9" w:rsidP="0026188B">
      <w:pPr>
        <w:pStyle w:val="Overskrift3"/>
        <w:rPr>
          <w:rFonts w:ascii="Garnett Light" w:hAnsi="Garnett Light"/>
          <w:b/>
          <w:bCs/>
          <w:color w:val="auto"/>
          <w:sz w:val="20"/>
          <w:szCs w:val="20"/>
          <w:lang w:val="en-US"/>
        </w:rPr>
      </w:pPr>
      <w:r w:rsidRPr="006A686C">
        <w:rPr>
          <w:rFonts w:ascii="Garnett Light" w:hAnsi="Garnett Light"/>
          <w:b/>
          <w:bCs/>
          <w:color w:val="auto"/>
          <w:sz w:val="20"/>
          <w:szCs w:val="20"/>
          <w:lang w:val="en-US"/>
        </w:rPr>
        <w:t>Requirements - conditions in the supply chain</w:t>
      </w:r>
    </w:p>
    <w:p w14:paraId="5508FE3A" w14:textId="222143A1" w:rsidR="0026188B" w:rsidRPr="006A686C" w:rsidRDefault="001E2DA9" w:rsidP="0026188B">
      <w:pPr>
        <w:rPr>
          <w:rFonts w:ascii="Garnett Light" w:eastAsia="Times New Roman" w:hAnsi="Garnett Light" w:cs="Calibri"/>
          <w:sz w:val="20"/>
          <w:szCs w:val="20"/>
          <w:lang w:eastAsia="nb-NO"/>
        </w:rPr>
      </w:pPr>
      <w:bookmarkStart w:id="6" w:name="_Hlk26537822"/>
      <w:r w:rsidRPr="006A686C">
        <w:rPr>
          <w:rFonts w:ascii="Garnett Light" w:eastAsia="Times New Roman" w:hAnsi="Garnett Light" w:cstheme="majorHAnsi"/>
          <w:sz w:val="20"/>
          <w:szCs w:val="20"/>
          <w:lang w:val="en-US" w:eastAsia="nb-NO"/>
        </w:rPr>
        <w:t xml:space="preserve">We expect our suppliers and partners to work focused and systematically to comply with our guidelines for suppliers, </w:t>
      </w:r>
      <w:proofErr w:type="gramStart"/>
      <w:r w:rsidRPr="006A686C">
        <w:rPr>
          <w:rFonts w:ascii="Garnett Light" w:eastAsia="Times New Roman" w:hAnsi="Garnett Light" w:cstheme="majorHAnsi"/>
          <w:sz w:val="20"/>
          <w:szCs w:val="20"/>
          <w:lang w:val="en-US" w:eastAsia="nb-NO"/>
        </w:rPr>
        <w:t>hereunder</w:t>
      </w:r>
      <w:proofErr w:type="gramEnd"/>
      <w:r w:rsidRPr="006A686C">
        <w:rPr>
          <w:rFonts w:ascii="Garnett Light" w:eastAsia="Times New Roman" w:hAnsi="Garnett Light" w:cstheme="majorHAnsi"/>
          <w:sz w:val="20"/>
          <w:szCs w:val="20"/>
          <w:lang w:val="en-US" w:eastAsia="nb-NO"/>
        </w:rPr>
        <w:t xml:space="preserve"> our code of conduct, that covers fundamental requirements </w:t>
      </w:r>
      <w:r w:rsidR="00836E56" w:rsidRPr="006A686C">
        <w:rPr>
          <w:rFonts w:ascii="Garnett Light" w:eastAsia="Times New Roman" w:hAnsi="Garnett Light" w:cstheme="majorHAnsi"/>
          <w:sz w:val="20"/>
          <w:szCs w:val="20"/>
          <w:lang w:val="en-US" w:eastAsia="nb-NO"/>
        </w:rPr>
        <w:t>on human</w:t>
      </w:r>
      <w:r w:rsidRPr="006A686C">
        <w:rPr>
          <w:rFonts w:ascii="Garnett Light" w:eastAsia="Times New Roman" w:hAnsi="Garnett Light" w:cstheme="majorHAnsi"/>
          <w:sz w:val="20"/>
          <w:szCs w:val="20"/>
          <w:lang w:val="en-US" w:eastAsia="nb-NO"/>
        </w:rPr>
        <w:t xml:space="preserve"> rights, </w:t>
      </w:r>
      <w:r w:rsidR="005572B3" w:rsidRPr="006A686C">
        <w:rPr>
          <w:rFonts w:ascii="Garnett Light" w:eastAsia="Times New Roman" w:hAnsi="Garnett Light" w:cstheme="majorHAnsi"/>
          <w:sz w:val="20"/>
          <w:szCs w:val="20"/>
          <w:lang w:val="en-US" w:eastAsia="nb-NO"/>
        </w:rPr>
        <w:t>labour</w:t>
      </w:r>
      <w:r w:rsidRPr="006A686C">
        <w:rPr>
          <w:rFonts w:ascii="Garnett Light" w:eastAsia="Times New Roman" w:hAnsi="Garnett Light" w:cstheme="majorHAnsi"/>
          <w:sz w:val="20"/>
          <w:szCs w:val="20"/>
          <w:lang w:val="en-US" w:eastAsia="nb-NO"/>
        </w:rPr>
        <w:t xml:space="preserve"> rights, anti-corruption, animal welfare and the environment. </w:t>
      </w:r>
      <w:r w:rsidRPr="006A686C">
        <w:rPr>
          <w:rFonts w:ascii="Garnett Light" w:eastAsia="Times New Roman" w:hAnsi="Garnett Light" w:cstheme="majorHAnsi"/>
          <w:sz w:val="20"/>
          <w:szCs w:val="20"/>
          <w:lang w:eastAsia="nb-NO"/>
        </w:rPr>
        <w:t xml:space="preserve">Our </w:t>
      </w:r>
      <w:r w:rsidRPr="006A686C">
        <w:rPr>
          <w:rFonts w:ascii="Garnett Light" w:eastAsia="Times New Roman" w:hAnsi="Garnett Light" w:cstheme="majorHAnsi"/>
          <w:sz w:val="20"/>
          <w:szCs w:val="20"/>
          <w:lang w:val="en-GB" w:eastAsia="nb-NO"/>
        </w:rPr>
        <w:t>suppliers shall</w:t>
      </w:r>
      <w:r w:rsidRPr="006A686C">
        <w:rPr>
          <w:rFonts w:ascii="Garnett Light" w:eastAsia="Times New Roman" w:hAnsi="Garnett Light" w:cstheme="majorHAnsi"/>
          <w:sz w:val="20"/>
          <w:szCs w:val="20"/>
          <w:lang w:eastAsia="nb-NO"/>
        </w:rPr>
        <w:t>:</w:t>
      </w:r>
    </w:p>
    <w:p w14:paraId="550DDB79" w14:textId="77777777" w:rsidR="0026188B" w:rsidRPr="006A686C" w:rsidRDefault="001E2DA9" w:rsidP="0026188B">
      <w:pPr>
        <w:pStyle w:val="Listeavsnitt"/>
        <w:numPr>
          <w:ilvl w:val="0"/>
          <w:numId w:val="1"/>
        </w:numPr>
        <w:rPr>
          <w:rFonts w:ascii="Garnett Light" w:hAnsi="Garnett Light" w:cstheme="majorHAnsi"/>
          <w:sz w:val="20"/>
          <w:szCs w:val="20"/>
          <w:lang w:val="en-US" w:eastAsia="nb-NO"/>
        </w:rPr>
      </w:pPr>
      <w:r w:rsidRPr="006A686C">
        <w:rPr>
          <w:rFonts w:ascii="Garnett Light" w:hAnsi="Garnett Light" w:cstheme="majorHAnsi"/>
          <w:sz w:val="20"/>
          <w:szCs w:val="20"/>
          <w:lang w:val="en-US" w:eastAsia="nb-NO"/>
        </w:rPr>
        <w:t>Follow our guidelines for suppliers (add link, if available), hereunder the code of conduct.</w:t>
      </w:r>
    </w:p>
    <w:p w14:paraId="0FA99A16" w14:textId="77777777" w:rsidR="00C22098" w:rsidRPr="006A686C" w:rsidRDefault="00C22098" w:rsidP="0026188B">
      <w:pPr>
        <w:pStyle w:val="Listeavsnitt"/>
        <w:numPr>
          <w:ilvl w:val="0"/>
          <w:numId w:val="1"/>
        </w:numPr>
        <w:rPr>
          <w:rFonts w:ascii="Garnett Light" w:hAnsi="Garnett Light" w:cstheme="majorHAnsi"/>
          <w:sz w:val="20"/>
          <w:szCs w:val="20"/>
          <w:lang w:val="en-US" w:eastAsia="nb-NO"/>
        </w:rPr>
      </w:pPr>
      <w:r w:rsidRPr="006A686C">
        <w:rPr>
          <w:rFonts w:ascii="Garnett Light" w:hAnsi="Garnett Light" w:cstheme="majorHAnsi"/>
          <w:i/>
          <w:iCs/>
          <w:sz w:val="20"/>
          <w:szCs w:val="20"/>
        </w:rPr>
        <w:t>C</w:t>
      </w:r>
      <w:r w:rsidRPr="006A686C">
        <w:rPr>
          <w:rFonts w:ascii="Garnett Light" w:hAnsi="Garnett Light" w:cstheme="majorHAnsi"/>
          <w:sz w:val="20"/>
          <w:szCs w:val="20"/>
        </w:rPr>
        <w:t>onduct due diligence for responsible business conduct. This involves; conducting risk assessments to identify potential negative impact on people, society and the environment and to stop, prevent and reduce such impact. The measures put in place must be monitored and their effect evaluated. The measures taken must be communicated to those affected by your actions. If the supplier is responsible for the negative impact/damage, they are responsible for providing remedy</w:t>
      </w:r>
      <w:r w:rsidRPr="006A686C">
        <w:rPr>
          <w:rFonts w:ascii="Garnett Light" w:hAnsi="Garnett Light" w:cstheme="majorHAnsi"/>
          <w:sz w:val="20"/>
          <w:szCs w:val="20"/>
          <w:lang w:eastAsia="nb-NO"/>
        </w:rPr>
        <w:t>.</w:t>
      </w:r>
      <w:r w:rsidRPr="006A686C">
        <w:rPr>
          <w:rStyle w:val="Fotnotereferanse"/>
          <w:rFonts w:ascii="Garnett Light" w:hAnsi="Garnett Light" w:cstheme="majorHAnsi"/>
          <w:sz w:val="20"/>
          <w:szCs w:val="20"/>
          <w:lang w:eastAsia="nb-NO"/>
        </w:rPr>
        <w:footnoteReference w:id="5"/>
      </w:r>
    </w:p>
    <w:p w14:paraId="37BB84BE" w14:textId="77777777" w:rsidR="0026188B" w:rsidRPr="006A686C" w:rsidRDefault="00C22098" w:rsidP="00C22098">
      <w:pPr>
        <w:pStyle w:val="Listeavsnitt"/>
        <w:numPr>
          <w:ilvl w:val="0"/>
          <w:numId w:val="1"/>
        </w:numPr>
        <w:rPr>
          <w:rFonts w:ascii="Garnett Light" w:hAnsi="Garnett Light" w:cstheme="majorHAnsi"/>
          <w:sz w:val="20"/>
          <w:szCs w:val="20"/>
          <w:lang w:val="en-US" w:eastAsia="nb-NO"/>
        </w:rPr>
      </w:pPr>
      <w:r w:rsidRPr="006A686C">
        <w:rPr>
          <w:rFonts w:ascii="Garnett Light" w:hAnsi="Garnett Light" w:cstheme="majorHAnsi"/>
          <w:sz w:val="20"/>
          <w:szCs w:val="20"/>
          <w:lang w:eastAsia="nb-NO"/>
        </w:rPr>
        <w:t>Show willingness and ability to continuous improvement for people, society and the environment through collaboration.</w:t>
      </w:r>
    </w:p>
    <w:p w14:paraId="2FE03B06" w14:textId="7C87EDBF" w:rsidR="0026188B" w:rsidRPr="006A686C" w:rsidRDefault="00C22098" w:rsidP="0026188B">
      <w:pPr>
        <w:pStyle w:val="Listeavsnitt"/>
        <w:numPr>
          <w:ilvl w:val="0"/>
          <w:numId w:val="1"/>
        </w:numPr>
        <w:rPr>
          <w:rFonts w:ascii="Garnett Light" w:hAnsi="Garnett Light" w:cstheme="majorHAnsi"/>
          <w:sz w:val="20"/>
          <w:szCs w:val="20"/>
          <w:lang w:val="en-US" w:eastAsia="nb-NO"/>
        </w:rPr>
      </w:pPr>
      <w:r w:rsidRPr="006A686C">
        <w:rPr>
          <w:rFonts w:ascii="Garnett Light" w:hAnsi="Garnett Light" w:cstheme="majorHAnsi"/>
          <w:sz w:val="20"/>
          <w:szCs w:val="20"/>
          <w:lang w:val="en-US"/>
        </w:rPr>
        <w:lastRenderedPageBreak/>
        <w:t xml:space="preserve">At the request of </w:t>
      </w:r>
      <w:r w:rsidR="006A686C" w:rsidRPr="006A686C">
        <w:rPr>
          <w:rFonts w:ascii="Garnett Light" w:hAnsi="Garnett Light" w:cstheme="majorHAnsi"/>
          <w:sz w:val="20"/>
          <w:szCs w:val="20"/>
          <w:lang w:val="en-US"/>
        </w:rPr>
        <w:t xml:space="preserve">Bokhari </w:t>
      </w:r>
      <w:proofErr w:type="gramStart"/>
      <w:r w:rsidR="006A686C" w:rsidRPr="006A686C">
        <w:rPr>
          <w:rFonts w:ascii="Garnett Light" w:hAnsi="Garnett Light" w:cstheme="majorHAnsi"/>
          <w:sz w:val="20"/>
          <w:szCs w:val="20"/>
          <w:lang w:val="en-US"/>
        </w:rPr>
        <w:t>AS</w:t>
      </w:r>
      <w:proofErr w:type="gramEnd"/>
      <w:r w:rsidRPr="006A686C">
        <w:rPr>
          <w:rFonts w:ascii="Garnett Light" w:hAnsi="Garnett Light" w:cstheme="majorHAnsi"/>
          <w:sz w:val="20"/>
          <w:szCs w:val="20"/>
          <w:lang w:val="en-US"/>
        </w:rPr>
        <w:t xml:space="preserve"> be able to document how they, and potential subcontractors, work to comply with the guidelines.</w:t>
      </w:r>
    </w:p>
    <w:p w14:paraId="48453264" w14:textId="77777777" w:rsidR="00C22098" w:rsidRPr="006A686C" w:rsidRDefault="00C22098" w:rsidP="00C22098">
      <w:pPr>
        <w:pStyle w:val="Listeavsnitt"/>
        <w:rPr>
          <w:rFonts w:ascii="Garnett Light" w:hAnsi="Garnett Light" w:cstheme="majorHAnsi"/>
          <w:sz w:val="20"/>
          <w:szCs w:val="20"/>
          <w:lang w:val="en-US" w:eastAsia="nb-NO"/>
        </w:rPr>
      </w:pPr>
    </w:p>
    <w:p w14:paraId="21AAFEAC" w14:textId="689BAFB4" w:rsidR="00C22098" w:rsidRPr="006A686C" w:rsidRDefault="00C22098" w:rsidP="006A686C">
      <w:pPr>
        <w:jc w:val="both"/>
        <w:rPr>
          <w:rFonts w:ascii="Garnett Light" w:eastAsia="Times New Roman" w:hAnsi="Garnett Light" w:cstheme="majorHAnsi"/>
          <w:sz w:val="20"/>
          <w:szCs w:val="20"/>
          <w:lang w:val="en-US" w:eastAsia="nb-NO"/>
        </w:rPr>
      </w:pPr>
      <w:r w:rsidRPr="006A686C">
        <w:rPr>
          <w:rFonts w:ascii="Garnett Light" w:eastAsia="Times New Roman" w:hAnsi="Garnett Light" w:cstheme="majorHAnsi"/>
          <w:sz w:val="20"/>
          <w:szCs w:val="20"/>
          <w:lang w:val="en-US" w:eastAsia="nb-NO"/>
        </w:rPr>
        <w:t xml:space="preserve">If the supplier, after several requests by </w:t>
      </w:r>
      <w:r w:rsidR="006A686C" w:rsidRPr="006A686C">
        <w:rPr>
          <w:rFonts w:ascii="Garnett Light" w:hAnsi="Garnett Light" w:cstheme="majorHAnsi"/>
          <w:sz w:val="20"/>
          <w:szCs w:val="20"/>
          <w:lang w:val="en-US"/>
        </w:rPr>
        <w:t>Bokhari AS</w:t>
      </w:r>
      <w:r w:rsidRPr="006A686C">
        <w:rPr>
          <w:rFonts w:ascii="Garnett Light" w:eastAsia="Times New Roman" w:hAnsi="Garnett Light" w:cstheme="majorHAnsi"/>
          <w:sz w:val="20"/>
          <w:szCs w:val="20"/>
          <w:lang w:val="en-US" w:eastAsia="nb-NO"/>
        </w:rPr>
        <w:t>, does not show the willingness or ability to comply with the guidelines for suppliers, the contract may be cancelled.</w:t>
      </w:r>
    </w:p>
    <w:p w14:paraId="5DCC27D2" w14:textId="77777777" w:rsidR="00C74BE7" w:rsidRPr="006A686C" w:rsidRDefault="00C74BE7" w:rsidP="00C74BE7">
      <w:pPr>
        <w:spacing w:line="240" w:lineRule="auto"/>
        <w:rPr>
          <w:rFonts w:ascii="Garnett Light" w:hAnsi="Garnett Light" w:cstheme="majorHAnsi"/>
          <w:b/>
          <w:bCs/>
          <w:sz w:val="20"/>
          <w:szCs w:val="20"/>
          <w:lang w:val="en-US"/>
        </w:rPr>
      </w:pPr>
      <w:bookmarkStart w:id="7" w:name="_Hlk26540582"/>
      <w:bookmarkEnd w:id="6"/>
      <w:r w:rsidRPr="006A686C">
        <w:rPr>
          <w:rFonts w:ascii="Garnett Light" w:hAnsi="Garnett Light" w:cstheme="majorHAnsi"/>
          <w:b/>
          <w:bCs/>
          <w:sz w:val="20"/>
          <w:szCs w:val="20"/>
          <w:lang w:val="en-US"/>
        </w:rPr>
        <w:t>Principles for responsible business conduct (Code of Conduct)</w:t>
      </w:r>
    </w:p>
    <w:p w14:paraId="084FEB6D" w14:textId="6427029F" w:rsidR="00B23DEE" w:rsidRPr="006A686C" w:rsidRDefault="00B23DEE" w:rsidP="006A686C">
      <w:pPr>
        <w:spacing w:line="240" w:lineRule="auto"/>
        <w:jc w:val="both"/>
        <w:rPr>
          <w:rFonts w:ascii="Garnett Light" w:hAnsi="Garnett Light" w:cstheme="majorHAnsi"/>
          <w:b/>
          <w:bCs/>
          <w:sz w:val="20"/>
          <w:szCs w:val="20"/>
          <w:lang w:val="en-US"/>
        </w:rPr>
      </w:pPr>
      <w:r w:rsidRPr="006A686C">
        <w:rPr>
          <w:rFonts w:ascii="Garnett Light" w:hAnsi="Garnett Light" w:cstheme="majorHAnsi"/>
          <w:bCs/>
          <w:sz w:val="20"/>
          <w:szCs w:val="20"/>
          <w:lang w:val="en-US"/>
        </w:rPr>
        <w:t>These principles for responsible business conduct are based on UN and ILO conventions and provide minimum, not maximum standards. The relevant legal framework at the place of production shall be respected. Where national laws and regulations address the same subjects as these guidelines, the most stringent shall apply.</w:t>
      </w:r>
    </w:p>
    <w:p w14:paraId="1016DF59" w14:textId="77777777" w:rsidR="004F7D6A" w:rsidRPr="00A95F8B" w:rsidRDefault="004F7D6A" w:rsidP="004F7D6A">
      <w:pPr>
        <w:spacing w:after="0" w:line="240" w:lineRule="auto"/>
        <w:rPr>
          <w:rFonts w:ascii="Garnett Light" w:hAnsi="Garnett Light" w:cstheme="majorHAnsi"/>
          <w:b/>
          <w:bCs/>
          <w:sz w:val="20"/>
          <w:szCs w:val="20"/>
          <w:lang w:val="en-US"/>
        </w:rPr>
      </w:pPr>
    </w:p>
    <w:p w14:paraId="58830384"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 xml:space="preserve">Forced and compulsory </w:t>
      </w:r>
      <w:proofErr w:type="spellStart"/>
      <w:r w:rsidRPr="00A95F8B">
        <w:rPr>
          <w:rFonts w:ascii="Garnett Light" w:eastAsiaTheme="majorEastAsia" w:hAnsi="Garnett Light" w:cstheme="majorBidi"/>
          <w:b/>
          <w:bCs/>
          <w:sz w:val="20"/>
          <w:szCs w:val="20"/>
          <w:lang w:val="en-US"/>
        </w:rPr>
        <w:t>labour</w:t>
      </w:r>
      <w:proofErr w:type="spellEnd"/>
      <w:r w:rsidRPr="00A95F8B">
        <w:rPr>
          <w:rFonts w:ascii="Garnett Light" w:eastAsiaTheme="majorEastAsia" w:hAnsi="Garnett Light" w:cstheme="majorBidi"/>
          <w:b/>
          <w:bCs/>
          <w:sz w:val="20"/>
          <w:szCs w:val="20"/>
          <w:lang w:val="en-US"/>
        </w:rPr>
        <w:t xml:space="preserve"> (ILO Conventions No. 29 and 105)</w:t>
      </w:r>
    </w:p>
    <w:p w14:paraId="352AC2E9"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There shall be no forced, bonded or involuntary prison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w:t>
      </w:r>
    </w:p>
    <w:p w14:paraId="448423F6"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Workers shall not be required to lodge deposits or identity papers with their employer and shall be free to leave their employer after reasonable notice. </w:t>
      </w:r>
    </w:p>
    <w:p w14:paraId="1C645A81" w14:textId="77777777" w:rsidR="004F7D6A" w:rsidRPr="00A95F8B" w:rsidRDefault="004F7D6A" w:rsidP="004F7D6A">
      <w:pPr>
        <w:pStyle w:val="Listeavsnitt"/>
        <w:ind w:left="360"/>
        <w:rPr>
          <w:rFonts w:ascii="Garnett Light" w:eastAsiaTheme="majorEastAsia" w:hAnsi="Garnett Light" w:cstheme="majorBidi"/>
          <w:sz w:val="20"/>
          <w:szCs w:val="20"/>
          <w:lang w:val="en-US"/>
        </w:rPr>
      </w:pPr>
    </w:p>
    <w:p w14:paraId="50F0BAF0" w14:textId="77777777" w:rsidR="004F7D6A" w:rsidRPr="00A95F8B" w:rsidRDefault="004F7D6A" w:rsidP="004F7D6A">
      <w:pPr>
        <w:pStyle w:val="Listeavsnitt"/>
        <w:numPr>
          <w:ilvl w:val="0"/>
          <w:numId w:val="2"/>
        </w:numPr>
        <w:rPr>
          <w:rFonts w:ascii="Garnett Light" w:eastAsiaTheme="majorEastAsia" w:hAnsi="Garnett Light" w:cstheme="majorBidi"/>
          <w:b/>
          <w:bCs/>
          <w:sz w:val="20"/>
          <w:szCs w:val="20"/>
          <w:lang w:val="en-US"/>
        </w:rPr>
      </w:pPr>
      <w:r w:rsidRPr="00A95F8B">
        <w:rPr>
          <w:rFonts w:ascii="Garnett Light" w:eastAsiaTheme="majorEastAsia" w:hAnsi="Garnett Light" w:cstheme="majorBidi"/>
          <w:b/>
          <w:bCs/>
          <w:sz w:val="20"/>
          <w:szCs w:val="20"/>
          <w:lang w:val="en-US"/>
        </w:rPr>
        <w:t>Freedom of Association and the Right to Collective Bargaining (ILO Conventions No. 87, 98, 135 and 154)</w:t>
      </w:r>
    </w:p>
    <w:p w14:paraId="3E406C3E"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Workers, without distinction, shall have the right to join or form trade unions of their own choosing and to bargain collectively. The employer shall not interfere with, obstruct, the formation of unions or collective bargaining. </w:t>
      </w:r>
    </w:p>
    <w:p w14:paraId="4885654F"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Workers’ representatives shall not be </w:t>
      </w:r>
      <w:proofErr w:type="gramStart"/>
      <w:r w:rsidRPr="00A95F8B">
        <w:rPr>
          <w:rFonts w:ascii="Garnett Light" w:eastAsiaTheme="majorEastAsia" w:hAnsi="Garnett Light" w:cstheme="majorBidi"/>
          <w:sz w:val="20"/>
          <w:szCs w:val="20"/>
          <w:lang w:val="en-US"/>
        </w:rPr>
        <w:t>discriminated</w:t>
      </w:r>
      <w:proofErr w:type="gramEnd"/>
      <w:r w:rsidRPr="00A95F8B">
        <w:rPr>
          <w:rFonts w:ascii="Garnett Light" w:eastAsiaTheme="majorEastAsia" w:hAnsi="Garnett Light" w:cstheme="majorBidi"/>
          <w:sz w:val="20"/>
          <w:szCs w:val="20"/>
          <w:lang w:val="en-US"/>
        </w:rPr>
        <w:t xml:space="preserve"> and shall have access to carry out their representative functions in the workplace.</w:t>
      </w:r>
    </w:p>
    <w:p w14:paraId="408C58EC" w14:textId="77777777" w:rsidR="004F7D6A"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Where the right to freedom of association and/or collective bargaining is restricted under law, the employer shall facilitate, and not hinder, the development of alternative forms of independent and free workers representation and negotiations.</w:t>
      </w:r>
    </w:p>
    <w:p w14:paraId="42288F45" w14:textId="77777777" w:rsidR="004F7D6A" w:rsidRPr="00A95F8B" w:rsidRDefault="004F7D6A" w:rsidP="004F7D6A">
      <w:pPr>
        <w:pStyle w:val="Listeavsnitt"/>
        <w:ind w:left="1068"/>
        <w:rPr>
          <w:rFonts w:ascii="Garnett Light" w:eastAsiaTheme="majorEastAsia" w:hAnsi="Garnett Light" w:cstheme="majorBidi"/>
          <w:sz w:val="20"/>
          <w:szCs w:val="20"/>
          <w:lang w:val="en-US"/>
        </w:rPr>
      </w:pPr>
    </w:p>
    <w:p w14:paraId="633C2BAD"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 xml:space="preserve">Child </w:t>
      </w:r>
      <w:proofErr w:type="spellStart"/>
      <w:r w:rsidRPr="00A95F8B">
        <w:rPr>
          <w:rFonts w:ascii="Garnett Light" w:eastAsiaTheme="majorEastAsia" w:hAnsi="Garnett Light" w:cstheme="majorBidi"/>
          <w:b/>
          <w:bCs/>
          <w:sz w:val="20"/>
          <w:szCs w:val="20"/>
          <w:lang w:val="en-US"/>
        </w:rPr>
        <w:t>Labour</w:t>
      </w:r>
      <w:proofErr w:type="spellEnd"/>
      <w:r w:rsidRPr="00A95F8B">
        <w:rPr>
          <w:rFonts w:ascii="Garnett Light" w:eastAsiaTheme="majorEastAsia" w:hAnsi="Garnett Light" w:cstheme="majorBidi"/>
          <w:b/>
          <w:bCs/>
          <w:sz w:val="20"/>
          <w:szCs w:val="20"/>
          <w:lang w:val="en-US"/>
        </w:rPr>
        <w:t xml:space="preserve"> (UN Convention on the Rights of the Child, ILO Conventions No. 138, 182 and 79, and ILO Recommendation No. 146)</w:t>
      </w:r>
    </w:p>
    <w:p w14:paraId="166472CD"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 minimum age for workers shall not be less than 15 and comply with </w:t>
      </w:r>
      <w:r w:rsidRPr="00A95F8B">
        <w:rPr>
          <w:rFonts w:ascii="Garnett Light" w:eastAsiaTheme="majorEastAsia" w:hAnsi="Garnett Light" w:cstheme="majorBidi"/>
          <w:sz w:val="20"/>
          <w:szCs w:val="20"/>
          <w:lang w:val="en-US"/>
        </w:rPr>
        <w:br/>
        <w:t>i)</w:t>
      </w:r>
      <w:r w:rsidRPr="00A95F8B">
        <w:rPr>
          <w:rFonts w:ascii="Garnett Light" w:eastAsiaTheme="majorEastAsia" w:hAnsi="Garnett Light" w:cstheme="majorBidi"/>
          <w:sz w:val="20"/>
          <w:szCs w:val="20"/>
          <w:lang w:val="en-US"/>
        </w:rPr>
        <w:tab/>
        <w:t xml:space="preserve">the national minimum age for employment, </w:t>
      </w:r>
      <w:proofErr w:type="gramStart"/>
      <w:r w:rsidRPr="00A95F8B">
        <w:rPr>
          <w:rFonts w:ascii="Garnett Light" w:eastAsiaTheme="majorEastAsia" w:hAnsi="Garnett Light" w:cstheme="majorBidi"/>
          <w:sz w:val="20"/>
          <w:szCs w:val="20"/>
          <w:lang w:val="en-US"/>
        </w:rPr>
        <w:t>or;</w:t>
      </w:r>
      <w:proofErr w:type="gramEnd"/>
      <w:r w:rsidRPr="00A95F8B">
        <w:rPr>
          <w:rFonts w:ascii="Garnett Light" w:eastAsiaTheme="majorEastAsia" w:hAnsi="Garnett Light" w:cstheme="majorBidi"/>
          <w:sz w:val="20"/>
          <w:szCs w:val="20"/>
          <w:lang w:val="en-US"/>
        </w:rPr>
        <w:t xml:space="preserve"> ii)</w:t>
      </w:r>
      <w:r w:rsidRPr="00A95F8B">
        <w:rPr>
          <w:rFonts w:ascii="Garnett Light" w:eastAsiaTheme="majorEastAsia" w:hAnsi="Garnett Light" w:cstheme="majorBidi"/>
          <w:sz w:val="20"/>
          <w:szCs w:val="20"/>
          <w:lang w:val="en-US"/>
        </w:rPr>
        <w:tab/>
        <w:t xml:space="preserve">the </w:t>
      </w:r>
      <w:proofErr w:type="gramStart"/>
      <w:r w:rsidRPr="00A95F8B">
        <w:rPr>
          <w:rFonts w:ascii="Garnett Light" w:eastAsiaTheme="majorEastAsia" w:hAnsi="Garnett Light" w:cstheme="majorBidi"/>
          <w:sz w:val="20"/>
          <w:szCs w:val="20"/>
          <w:lang w:val="en-US"/>
        </w:rPr>
        <w:t>age of completion</w:t>
      </w:r>
      <w:proofErr w:type="gramEnd"/>
      <w:r w:rsidRPr="00A95F8B">
        <w:rPr>
          <w:rFonts w:ascii="Garnett Light" w:eastAsiaTheme="majorEastAsia" w:hAnsi="Garnett Light" w:cstheme="majorBidi"/>
          <w:sz w:val="20"/>
          <w:szCs w:val="20"/>
          <w:lang w:val="en-US"/>
        </w:rPr>
        <w:t xml:space="preserve"> of compulsory education, whichever of these is higher. If local minimum is set at 14 years in accordance with developing country exceptions under ILO Convention 138, this lower age may apply.</w:t>
      </w:r>
    </w:p>
    <w:p w14:paraId="2694EBFB"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There shall be no recruitment of child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defined as any work performed by a child younger than the age(s) specified above.</w:t>
      </w:r>
    </w:p>
    <w:p w14:paraId="3A2DB6EE"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No person under the age of 18 shall be engaged in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that is hazardous to their health, safety or morals, including night work.</w:t>
      </w:r>
    </w:p>
    <w:p w14:paraId="06CF8B87"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Policies and procedures for remediation of child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prohibited by ILO conventions no. 138 and 182, shall be established, documented, and communicated to personnel and other interested parties. Adequate support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provided to enable such children to attend and complete compulsory education.</w:t>
      </w:r>
    </w:p>
    <w:p w14:paraId="63285CF5"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1E831592"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Discrimination (ILO Conventions No. 100 and 111 and the UN Convention on Discrimination Against Women)</w:t>
      </w:r>
    </w:p>
    <w:p w14:paraId="25DF5177"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There shall be no discrimination at the workplace in hiring, compensation, access to training, promotion, termination or retirement based on ethnic background, caste, </w:t>
      </w:r>
      <w:r w:rsidRPr="00A95F8B">
        <w:rPr>
          <w:rFonts w:ascii="Garnett Light" w:eastAsiaTheme="majorEastAsia" w:hAnsi="Garnett Light" w:cstheme="majorBidi"/>
          <w:sz w:val="20"/>
          <w:szCs w:val="20"/>
          <w:lang w:val="en-US"/>
        </w:rPr>
        <w:lastRenderedPageBreak/>
        <w:t xml:space="preserve">religion, age, disability, gender, marital status, sexual orientation, union membership or political affiliation. </w:t>
      </w:r>
    </w:p>
    <w:p w14:paraId="03450A64" w14:textId="77777777" w:rsidR="004F7D6A"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Measures shall be established to protect workers from sexually intrusive, threatening, insulting or exploitative </w:t>
      </w:r>
      <w:proofErr w:type="spellStart"/>
      <w:r w:rsidRPr="00A95F8B">
        <w:rPr>
          <w:rFonts w:ascii="Garnett Light" w:eastAsiaTheme="majorEastAsia" w:hAnsi="Garnett Light" w:cstheme="majorBidi"/>
          <w:sz w:val="20"/>
          <w:szCs w:val="20"/>
          <w:lang w:val="en-US"/>
        </w:rPr>
        <w:t>behaviour</w:t>
      </w:r>
      <w:proofErr w:type="spellEnd"/>
      <w:r w:rsidRPr="00A95F8B">
        <w:rPr>
          <w:rFonts w:ascii="Garnett Light" w:eastAsiaTheme="majorEastAsia" w:hAnsi="Garnett Light" w:cstheme="majorBidi"/>
          <w:sz w:val="20"/>
          <w:szCs w:val="20"/>
          <w:lang w:val="en-US"/>
        </w:rPr>
        <w:t xml:space="preserve">, and from discrimination or termination of employment on unjustifiable grounds, e.g. marriage, pregnancy, parenthood or HIV status. </w:t>
      </w:r>
    </w:p>
    <w:p w14:paraId="764D024A" w14:textId="77777777" w:rsidR="004F7D6A" w:rsidRPr="00A95F8B" w:rsidRDefault="004F7D6A" w:rsidP="004F7D6A">
      <w:pPr>
        <w:pStyle w:val="Listeavsnitt"/>
        <w:ind w:left="1068"/>
        <w:rPr>
          <w:rFonts w:ascii="Garnett Light" w:eastAsiaTheme="majorEastAsia" w:hAnsi="Garnett Light" w:cstheme="majorBidi"/>
          <w:sz w:val="20"/>
          <w:szCs w:val="20"/>
          <w:lang w:val="en-US"/>
        </w:rPr>
      </w:pPr>
    </w:p>
    <w:p w14:paraId="0AAC4EBC"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Harsh or Inhumane Treatment (UN Covenant on Civil and Political Rights, Art. 7)</w:t>
      </w:r>
    </w:p>
    <w:p w14:paraId="0F5542D1"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Physical abuse or punishment, or threats of physical abuse, sexual or other harassment and verbal abuse, as well as other forms of intimidation, </w:t>
      </w:r>
      <w:proofErr w:type="gramStart"/>
      <w:r w:rsidRPr="00A95F8B">
        <w:rPr>
          <w:rFonts w:ascii="Garnett Light" w:eastAsiaTheme="majorEastAsia" w:hAnsi="Garnett Light" w:cstheme="majorBidi"/>
          <w:sz w:val="20"/>
          <w:szCs w:val="20"/>
          <w:lang w:val="en-US"/>
        </w:rPr>
        <w:t>is</w:t>
      </w:r>
      <w:proofErr w:type="gramEnd"/>
      <w:r w:rsidRPr="00A95F8B">
        <w:rPr>
          <w:rFonts w:ascii="Garnett Light" w:eastAsiaTheme="majorEastAsia" w:hAnsi="Garnett Light" w:cstheme="majorBidi"/>
          <w:sz w:val="20"/>
          <w:szCs w:val="20"/>
          <w:lang w:val="en-US"/>
        </w:rPr>
        <w:t xml:space="preserve"> prohibited.</w:t>
      </w:r>
    </w:p>
    <w:p w14:paraId="54F0FF17"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3C7708A2"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Health and Safety (ILO Convention No. 155 and ILO Recommendation No. 164)</w:t>
      </w:r>
    </w:p>
    <w:p w14:paraId="3D9306F8"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 working environment shall be safe and hygienic, bearing in mind the prevailing knowledge of </w:t>
      </w:r>
      <w:proofErr w:type="gramStart"/>
      <w:r w:rsidRPr="00A95F8B">
        <w:rPr>
          <w:rFonts w:ascii="Garnett Light" w:eastAsiaTheme="majorEastAsia" w:hAnsi="Garnett Light" w:cstheme="majorBidi"/>
          <w:sz w:val="20"/>
          <w:szCs w:val="20"/>
          <w:lang w:val="en-US"/>
        </w:rPr>
        <w:t>the industry</w:t>
      </w:r>
      <w:proofErr w:type="gramEnd"/>
      <w:r w:rsidRPr="00A95F8B">
        <w:rPr>
          <w:rFonts w:ascii="Garnett Light" w:eastAsiaTheme="majorEastAsia" w:hAnsi="Garnett Light" w:cstheme="majorBidi"/>
          <w:sz w:val="20"/>
          <w:szCs w:val="20"/>
          <w:lang w:val="en-US"/>
        </w:rPr>
        <w:t xml:space="preserve"> and of any specific hazards. Hazardous chemicals and other </w:t>
      </w:r>
      <w:r w:rsidRPr="00A95F8B">
        <w:rPr>
          <w:rFonts w:ascii="Garnett Light" w:eastAsia="FS Lucas Pro" w:hAnsi="Garnett Light" w:cs="FS Lucas Pro"/>
          <w:sz w:val="20"/>
          <w:szCs w:val="20"/>
          <w:lang w:val="nb"/>
        </w:rPr>
        <w:t>substances shall be carefully managed. Adequate steps shall be taken to prevent accidents and injury to health arising out of, associated with, or occurring in, the course of work, by minimising, so far as is reasonably practicable, the causes of hazards inherent in the working environment</w:t>
      </w:r>
      <w:r w:rsidRPr="00A95F8B">
        <w:rPr>
          <w:rFonts w:ascii="Garnett Light" w:eastAsiaTheme="majorEastAsia" w:hAnsi="Garnett Light" w:cstheme="majorBidi"/>
          <w:sz w:val="20"/>
          <w:szCs w:val="20"/>
          <w:lang w:val="en-US"/>
        </w:rPr>
        <w:t xml:space="preserve">. </w:t>
      </w:r>
    </w:p>
    <w:p w14:paraId="4C7F22F2"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Workers shall receive regular and documented health and safety training, and such training shall be repeated for new or reassigned workers.</w:t>
      </w:r>
    </w:p>
    <w:p w14:paraId="446C895C"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Access to clean toilet facilities and to potable water, and, if appropriate, sanitary facilities for food storage shall be provided.</w:t>
      </w:r>
    </w:p>
    <w:p w14:paraId="12DE7A66"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Accommodation, where provided,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clean, safe and adequately ventilated, and shall have access to clean toilet facilities and potable water.</w:t>
      </w:r>
    </w:p>
    <w:p w14:paraId="7C0A44B6"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30FAFA05"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Wages (ILO Convention No. 131)</w:t>
      </w:r>
    </w:p>
    <w:p w14:paraId="27566E0E"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Wages and benefits paid for a standard working week shall as minimum meet national legal standards or </w:t>
      </w:r>
      <w:proofErr w:type="gramStart"/>
      <w:r w:rsidRPr="00A95F8B">
        <w:rPr>
          <w:rFonts w:ascii="Garnett Light" w:eastAsiaTheme="majorEastAsia" w:hAnsi="Garnett Light" w:cstheme="majorBidi"/>
          <w:sz w:val="20"/>
          <w:szCs w:val="20"/>
          <w:lang w:val="en-US"/>
        </w:rPr>
        <w:t>industry benchmark</w:t>
      </w:r>
      <w:proofErr w:type="gramEnd"/>
      <w:r w:rsidRPr="00A95F8B">
        <w:rPr>
          <w:rFonts w:ascii="Garnett Light" w:eastAsiaTheme="majorEastAsia" w:hAnsi="Garnett Light" w:cstheme="majorBidi"/>
          <w:sz w:val="20"/>
          <w:szCs w:val="20"/>
          <w:lang w:val="en-US"/>
        </w:rPr>
        <w:t xml:space="preserve"> standards, whichever is higher. Wages should always be enough to meet basic needs, including some discretionary income.</w:t>
      </w:r>
    </w:p>
    <w:p w14:paraId="39C8D991"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All workers shall be provided with a written and comprehensible contract outlining their wage conditions and method of </w:t>
      </w:r>
      <w:proofErr w:type="gramStart"/>
      <w:r w:rsidRPr="00A95F8B">
        <w:rPr>
          <w:rFonts w:ascii="Garnett Light" w:eastAsiaTheme="majorEastAsia" w:hAnsi="Garnett Light" w:cstheme="majorBidi"/>
          <w:sz w:val="20"/>
          <w:szCs w:val="20"/>
          <w:lang w:val="en-US"/>
        </w:rPr>
        <w:t>payments</w:t>
      </w:r>
      <w:proofErr w:type="gramEnd"/>
      <w:r w:rsidRPr="00A95F8B">
        <w:rPr>
          <w:rFonts w:ascii="Garnett Light" w:eastAsiaTheme="majorEastAsia" w:hAnsi="Garnett Light" w:cstheme="majorBidi"/>
          <w:sz w:val="20"/>
          <w:szCs w:val="20"/>
          <w:lang w:val="en-US"/>
        </w:rPr>
        <w:t xml:space="preserve"> before entering employment. </w:t>
      </w:r>
    </w:p>
    <w:p w14:paraId="694F5847"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Deductions from wages as a disciplinary measure shall not be permitted. </w:t>
      </w:r>
    </w:p>
    <w:p w14:paraId="23FA9C5F"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604DB6A9"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Working Hours (ILO Convention No. 1 and 14)</w:t>
      </w:r>
    </w:p>
    <w:p w14:paraId="20655C8B"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Working hours shall comply with national laws and benchmark industry standards, and not more than prevailing international standards. Weekly working hours should not </w:t>
      </w:r>
      <w:proofErr w:type="gramStart"/>
      <w:r w:rsidRPr="00A95F8B">
        <w:rPr>
          <w:rFonts w:ascii="Garnett Light" w:eastAsiaTheme="majorEastAsia" w:hAnsi="Garnett Light" w:cstheme="majorBidi"/>
          <w:sz w:val="20"/>
          <w:szCs w:val="20"/>
          <w:lang w:val="en-US"/>
        </w:rPr>
        <w:t>on a regular basis be more than 48 hours</w:t>
      </w:r>
      <w:proofErr w:type="gramEnd"/>
      <w:r w:rsidRPr="00A95F8B">
        <w:rPr>
          <w:rFonts w:ascii="Garnett Light" w:eastAsiaTheme="majorEastAsia" w:hAnsi="Garnett Light" w:cstheme="majorBidi"/>
          <w:sz w:val="20"/>
          <w:szCs w:val="20"/>
          <w:lang w:val="en-US"/>
        </w:rPr>
        <w:t>.</w:t>
      </w:r>
    </w:p>
    <w:p w14:paraId="6B9C1098"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Workers shall be provided with at least one day off for every 7-day period.</w:t>
      </w:r>
    </w:p>
    <w:p w14:paraId="5D3577BA"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Overtime shall be limited and voluntary. Recommended maximum overtime is 12 hours per week, i.e. that the total working week including overtime shall not exceed 60 hours. Exceptions to this are accepted when regulated by a collective bargaining agreement or national law.</w:t>
      </w:r>
    </w:p>
    <w:p w14:paraId="673EF29C"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Workers shall always receive overtime pay for all hours worked over and above the normal working hours (see 8.1 above), minimum in accordance with relevant legislation.</w:t>
      </w:r>
    </w:p>
    <w:p w14:paraId="74EE34EB"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71710AF0"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Regular Employment (ILO Convention No. 95, 158, 175, 177 and 181)</w:t>
      </w:r>
    </w:p>
    <w:p w14:paraId="18BD84DD"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Obligations to employees under international conventions, national law and regulations concerning regular employment shall not be avoided through the use of </w:t>
      </w:r>
      <w:proofErr w:type="gramStart"/>
      <w:r w:rsidRPr="00A95F8B">
        <w:rPr>
          <w:rFonts w:ascii="Garnett Light" w:eastAsiaTheme="majorEastAsia" w:hAnsi="Garnett Light" w:cstheme="majorBidi"/>
          <w:sz w:val="20"/>
          <w:szCs w:val="20"/>
          <w:lang w:val="en-US"/>
        </w:rPr>
        <w:lastRenderedPageBreak/>
        <w:t>short term</w:t>
      </w:r>
      <w:proofErr w:type="gramEnd"/>
      <w:r w:rsidRPr="00A95F8B">
        <w:rPr>
          <w:rFonts w:ascii="Garnett Light" w:eastAsiaTheme="majorEastAsia" w:hAnsi="Garnett Light" w:cstheme="majorBidi"/>
          <w:sz w:val="20"/>
          <w:szCs w:val="20"/>
          <w:lang w:val="en-US"/>
        </w:rPr>
        <w:t xml:space="preserve"> contracting (such as contract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casual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or day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sub-contractors or other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relationships. </w:t>
      </w:r>
    </w:p>
    <w:p w14:paraId="399EC683"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All workers are entitled to a contract of employment in a language they understand.</w:t>
      </w:r>
    </w:p>
    <w:p w14:paraId="1B325A39"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 duration and content of apprenticeship </w:t>
      </w:r>
      <w:proofErr w:type="spellStart"/>
      <w:r w:rsidRPr="00A95F8B">
        <w:rPr>
          <w:rFonts w:ascii="Garnett Light" w:eastAsiaTheme="majorEastAsia" w:hAnsi="Garnett Light" w:cstheme="majorBidi"/>
          <w:sz w:val="20"/>
          <w:szCs w:val="20"/>
          <w:lang w:val="en-US"/>
        </w:rPr>
        <w:t>programmes</w:t>
      </w:r>
      <w:proofErr w:type="spellEnd"/>
      <w:r w:rsidRPr="00A95F8B">
        <w:rPr>
          <w:rFonts w:ascii="Garnett Light" w:eastAsiaTheme="majorEastAsia" w:hAnsi="Garnett Light" w:cstheme="majorBidi"/>
          <w:sz w:val="20"/>
          <w:szCs w:val="20"/>
          <w:lang w:val="en-US"/>
        </w:rPr>
        <w:t xml:space="preserve">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clearly defined.</w:t>
      </w:r>
    </w:p>
    <w:p w14:paraId="75BBECE2"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457B9270"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Marginalized Populations (UN Covenant on Civil and Political Rights, art. 1 and 2)</w:t>
      </w:r>
    </w:p>
    <w:p w14:paraId="30ADA1BD"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Production and the use of natural resources shall not contribute to the destruction and/or degradation of the resources and income base for marginalized populations, such as in claiming large land areas, use of water or other natural resources on which these populations are dependent.</w:t>
      </w:r>
    </w:p>
    <w:p w14:paraId="10229B57"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1AAE1D9E"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Environment</w:t>
      </w:r>
    </w:p>
    <w:p w14:paraId="24B2F50A"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Negative impact on the environment shall be reduced throughout the value chain. In line with the precautionary principle, measures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taken to continuously minimize greenhouse gas emissions and local pollution, the use of harmful chemicals, pesticides, and to ensure sustainable resource extraction and management of water, oceans, forest and land, and the conservation of biodiversity.</w:t>
      </w:r>
    </w:p>
    <w:p w14:paraId="006F54C8"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National and international environmental legislation and regulations shall be respected and relevant discharge permits obtained.</w:t>
      </w:r>
    </w:p>
    <w:p w14:paraId="4A142F75" w14:textId="77777777" w:rsidR="004F7D6A" w:rsidRPr="00A95F8B" w:rsidRDefault="004F7D6A" w:rsidP="004F7D6A">
      <w:pPr>
        <w:pStyle w:val="Listeavsnitt"/>
        <w:ind w:left="1068"/>
        <w:rPr>
          <w:rFonts w:ascii="Garnett Light" w:eastAsiaTheme="majorEastAsia" w:hAnsi="Garnett Light" w:cstheme="majorBidi"/>
          <w:sz w:val="20"/>
          <w:szCs w:val="20"/>
          <w:lang w:val="en-US"/>
        </w:rPr>
      </w:pPr>
    </w:p>
    <w:p w14:paraId="036D7B31"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Corruption</w:t>
      </w:r>
    </w:p>
    <w:p w14:paraId="1A1BC405"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Corruption in any form is not accepted, including bribery, extortion, kickbacks and improper private or professional benefits to customers, agents, contractors, suppliers or employees of any such party or government officials.</w:t>
      </w:r>
    </w:p>
    <w:p w14:paraId="363BB6A7" w14:textId="77777777" w:rsidR="004F7D6A" w:rsidRPr="00A95F8B" w:rsidRDefault="004F7D6A" w:rsidP="004F7D6A">
      <w:pPr>
        <w:spacing w:after="0" w:line="240" w:lineRule="auto"/>
        <w:rPr>
          <w:rFonts w:ascii="Garnett Light" w:eastAsiaTheme="majorEastAsia" w:hAnsi="Garnett Light" w:cstheme="majorBidi"/>
          <w:b/>
          <w:bCs/>
          <w:sz w:val="20"/>
          <w:szCs w:val="20"/>
          <w:lang w:val="en-US"/>
        </w:rPr>
      </w:pPr>
    </w:p>
    <w:p w14:paraId="2BDAFF68" w14:textId="77777777" w:rsidR="004F7D6A" w:rsidRPr="00A95F8B" w:rsidRDefault="004F7D6A" w:rsidP="004F7D6A">
      <w:pPr>
        <w:pStyle w:val="Listeavsnitt"/>
        <w:numPr>
          <w:ilvl w:val="0"/>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Animal welfare</w:t>
      </w:r>
    </w:p>
    <w:p w14:paraId="0B85115A"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Animal welfare shall be respected. Measures should be taken to minimize any negative impact on the welfare of livestock and working animals.</w:t>
      </w:r>
    </w:p>
    <w:p w14:paraId="0AF751A3" w14:textId="77777777" w:rsidR="004F7D6A" w:rsidRPr="00A95F8B" w:rsidRDefault="004F7D6A" w:rsidP="004F7D6A">
      <w:pPr>
        <w:pStyle w:val="Listeavsnitt"/>
        <w:numPr>
          <w:ilvl w:val="1"/>
          <w:numId w:val="2"/>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National and international animal welfare legislation and regulations shall be respected.</w:t>
      </w:r>
    </w:p>
    <w:p w14:paraId="002B7E62" w14:textId="77777777" w:rsidR="004F7D6A" w:rsidRDefault="007717BB" w:rsidP="004F7D6A">
      <w:pPr>
        <w:spacing w:after="0" w:line="240" w:lineRule="auto"/>
        <w:jc w:val="both"/>
        <w:rPr>
          <w:rFonts w:ascii="Garnett Light" w:hAnsi="Garnett Light" w:cstheme="majorHAnsi"/>
          <w:sz w:val="20"/>
          <w:szCs w:val="20"/>
          <w:lang w:val="en-US"/>
        </w:rPr>
      </w:pPr>
      <w:r w:rsidRPr="006A686C">
        <w:rPr>
          <w:rFonts w:ascii="Garnett Light" w:eastAsiaTheme="majorEastAsia" w:hAnsi="Garnett Light" w:cstheme="majorBidi"/>
          <w:sz w:val="20"/>
          <w:szCs w:val="20"/>
          <w:lang w:val="en-US"/>
        </w:rPr>
        <w:br/>
      </w:r>
    </w:p>
    <w:p w14:paraId="1D266F89" w14:textId="77777777" w:rsidR="004F7D6A" w:rsidRPr="00A95F8B" w:rsidRDefault="004F7D6A" w:rsidP="004F7D6A">
      <w:pPr>
        <w:spacing w:after="0" w:line="240" w:lineRule="auto"/>
        <w:rPr>
          <w:rFonts w:ascii="Garnett Light" w:hAnsi="Garnett Light" w:cstheme="majorHAnsi"/>
          <w:sz w:val="20"/>
          <w:szCs w:val="20"/>
          <w:lang w:val="en-US"/>
        </w:rPr>
      </w:pPr>
      <w:bookmarkStart w:id="8" w:name="_Hlk189225135"/>
      <w:r w:rsidRPr="00A95F8B">
        <w:rPr>
          <w:rFonts w:ascii="Garnett Light" w:hAnsi="Garnett Light" w:cstheme="majorHAnsi"/>
          <w:sz w:val="20"/>
          <w:szCs w:val="20"/>
          <w:lang w:val="en-US"/>
        </w:rPr>
        <w:t>Date of approval: 27.09.2024.</w:t>
      </w:r>
    </w:p>
    <w:p w14:paraId="66918EFE" w14:textId="77777777" w:rsidR="004F7D6A" w:rsidRPr="00A95F8B" w:rsidRDefault="004F7D6A" w:rsidP="004F7D6A">
      <w:pPr>
        <w:spacing w:after="0" w:line="240" w:lineRule="auto"/>
        <w:rPr>
          <w:rFonts w:ascii="Garnett Light" w:hAnsi="Garnett Light" w:cstheme="majorHAnsi"/>
          <w:sz w:val="20"/>
          <w:szCs w:val="20"/>
          <w:lang w:val="en-US"/>
        </w:rPr>
      </w:pPr>
      <w:r w:rsidRPr="00A95F8B">
        <w:rPr>
          <w:rFonts w:ascii="Garnett Light" w:hAnsi="Garnett Light" w:cstheme="majorHAnsi"/>
          <w:sz w:val="20"/>
          <w:szCs w:val="20"/>
          <w:lang w:val="en-US"/>
        </w:rPr>
        <w:t>Approved by: Bokhari AS Board</w:t>
      </w:r>
    </w:p>
    <w:bookmarkEnd w:id="8"/>
    <w:p w14:paraId="45848E91" w14:textId="77777777" w:rsidR="004F7D6A" w:rsidRDefault="004F7D6A" w:rsidP="004F7D6A">
      <w:pPr>
        <w:spacing w:after="0" w:line="240" w:lineRule="auto"/>
        <w:jc w:val="both"/>
        <w:rPr>
          <w:rFonts w:ascii="Garnett Light" w:hAnsi="Garnett Light" w:cstheme="majorHAnsi"/>
          <w:sz w:val="20"/>
          <w:szCs w:val="20"/>
          <w:lang w:val="en-US"/>
        </w:rPr>
      </w:pPr>
    </w:p>
    <w:bookmarkEnd w:id="7"/>
    <w:p w14:paraId="109F9F6C" w14:textId="77777777" w:rsidR="004F7D6A" w:rsidRPr="00A95F8B" w:rsidRDefault="004F7D6A" w:rsidP="004F7D6A">
      <w:pPr>
        <w:spacing w:after="0" w:line="240" w:lineRule="auto"/>
        <w:jc w:val="both"/>
        <w:rPr>
          <w:rFonts w:ascii="Garnett Light" w:hAnsi="Garnett Light" w:cstheme="majorHAnsi"/>
          <w:sz w:val="20"/>
          <w:szCs w:val="20"/>
          <w:lang w:val="en-US"/>
        </w:rPr>
      </w:pPr>
      <w:r w:rsidRPr="00A95F8B">
        <w:rPr>
          <w:rFonts w:ascii="Garnett Light" w:hAnsi="Garnett Light" w:cstheme="majorHAnsi"/>
          <w:sz w:val="20"/>
          <w:szCs w:val="20"/>
          <w:lang w:val="en-US"/>
        </w:rPr>
        <w:t>/Sign</w:t>
      </w:r>
      <w:r>
        <w:rPr>
          <w:rFonts w:ascii="Garnett Light" w:hAnsi="Garnett Light" w:cstheme="majorHAnsi"/>
          <w:sz w:val="20"/>
          <w:szCs w:val="20"/>
          <w:lang w:val="en-US"/>
        </w:rPr>
        <w:t xml:space="preserve">: </w:t>
      </w:r>
      <w:r w:rsidRPr="00A95F8B">
        <w:rPr>
          <w:rFonts w:ascii="Garnett Light" w:hAnsi="Garnett Light" w:cstheme="majorHAnsi"/>
          <w:sz w:val="20"/>
          <w:szCs w:val="20"/>
          <w:lang w:val="en-US"/>
        </w:rPr>
        <w:t>Amar Bokhari, Chair</w:t>
      </w:r>
      <w:r>
        <w:rPr>
          <w:rFonts w:ascii="Garnett Light" w:hAnsi="Garnett Light" w:cstheme="majorHAnsi"/>
          <w:sz w:val="20"/>
          <w:szCs w:val="20"/>
          <w:lang w:val="en-US"/>
        </w:rPr>
        <w:tab/>
      </w:r>
      <w:r>
        <w:rPr>
          <w:rFonts w:ascii="Garnett Light" w:hAnsi="Garnett Light" w:cstheme="majorHAnsi"/>
          <w:sz w:val="20"/>
          <w:szCs w:val="20"/>
          <w:lang w:val="en-US"/>
        </w:rPr>
        <w:tab/>
      </w:r>
      <w:r>
        <w:rPr>
          <w:rFonts w:ascii="Garnett Light" w:hAnsi="Garnett Light" w:cstheme="majorHAnsi"/>
          <w:sz w:val="20"/>
          <w:szCs w:val="20"/>
          <w:lang w:val="en-US"/>
        </w:rPr>
        <w:tab/>
      </w:r>
    </w:p>
    <w:p w14:paraId="54016764" w14:textId="4C8C37F6" w:rsidR="007B410C" w:rsidRPr="006A686C" w:rsidRDefault="004F7D6A" w:rsidP="004F7D6A">
      <w:pPr>
        <w:spacing w:line="240" w:lineRule="auto"/>
        <w:rPr>
          <w:rFonts w:ascii="Garnett Light" w:hAnsi="Garnett Light" w:cstheme="majorHAnsi"/>
          <w:sz w:val="20"/>
          <w:szCs w:val="20"/>
          <w:lang w:val="en-US"/>
        </w:rPr>
      </w:pPr>
      <w:r w:rsidRPr="00A95F8B">
        <w:rPr>
          <w:rFonts w:ascii="Garnett Light" w:hAnsi="Garnett Light" w:cstheme="majorHAnsi"/>
          <w:sz w:val="20"/>
          <w:szCs w:val="20"/>
          <w:lang w:val="en-US"/>
        </w:rPr>
        <w:t>/Sign</w:t>
      </w:r>
      <w:r>
        <w:rPr>
          <w:rFonts w:ascii="Garnett Light" w:hAnsi="Garnett Light" w:cstheme="majorHAnsi"/>
          <w:sz w:val="20"/>
          <w:szCs w:val="20"/>
          <w:lang w:val="en-US"/>
        </w:rPr>
        <w:t>:</w:t>
      </w:r>
      <w:r w:rsidRPr="009248F7">
        <w:rPr>
          <w:rFonts w:ascii="Garnett Light" w:hAnsi="Garnett Light" w:cstheme="majorHAnsi"/>
          <w:sz w:val="20"/>
          <w:szCs w:val="20"/>
          <w:lang w:val="en-US"/>
        </w:rPr>
        <w:t xml:space="preserve"> </w:t>
      </w:r>
      <w:r w:rsidRPr="00A95F8B">
        <w:rPr>
          <w:rFonts w:ascii="Garnett Light" w:hAnsi="Garnett Light" w:cstheme="majorHAnsi"/>
          <w:sz w:val="20"/>
          <w:szCs w:val="20"/>
          <w:lang w:val="en-US"/>
        </w:rPr>
        <w:t>Runa Klock, Board member</w:t>
      </w:r>
    </w:p>
    <w:sectPr w:rsidR="007B410C" w:rsidRPr="006A686C" w:rsidSect="00E75D76">
      <w:headerReference w:type="default" r:id="rId10"/>
      <w:footerReference w:type="default" r:id="rId11"/>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154B" w14:textId="77777777" w:rsidR="00613975" w:rsidRDefault="00613975" w:rsidP="00CF1657">
      <w:pPr>
        <w:spacing w:after="0" w:line="240" w:lineRule="auto"/>
      </w:pPr>
      <w:r>
        <w:separator/>
      </w:r>
    </w:p>
  </w:endnote>
  <w:endnote w:type="continuationSeparator" w:id="0">
    <w:p w14:paraId="0214D06C" w14:textId="77777777" w:rsidR="00613975" w:rsidRDefault="00613975" w:rsidP="00CF1657">
      <w:pPr>
        <w:spacing w:after="0" w:line="240" w:lineRule="auto"/>
      </w:pPr>
      <w:r>
        <w:continuationSeparator/>
      </w:r>
    </w:p>
  </w:endnote>
  <w:endnote w:type="continuationNotice" w:id="1">
    <w:p w14:paraId="6E643E6D" w14:textId="77777777" w:rsidR="00613975" w:rsidRDefault="00613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nett Medium">
    <w:panose1 w:val="02010604040203040803"/>
    <w:charset w:val="00"/>
    <w:family w:val="modern"/>
    <w:notTrueType/>
    <w:pitch w:val="variable"/>
    <w:sig w:usb0="00000007" w:usb1="00000001" w:usb2="00000000" w:usb3="00000000" w:csb0="00000093" w:csb1="00000000"/>
  </w:font>
  <w:font w:name="Garnett Light">
    <w:panose1 w:val="02010404040203040803"/>
    <w:charset w:val="00"/>
    <w:family w:val="modern"/>
    <w:notTrueType/>
    <w:pitch w:val="variable"/>
    <w:sig w:usb0="00000007" w:usb1="00000001" w:usb2="00000000" w:usb3="00000000" w:csb0="00000093" w:csb1="00000000"/>
  </w:font>
  <w:font w:name="FS Lucas Pro">
    <w:altName w:val="Calibri"/>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7ED2" w14:textId="77777777" w:rsidR="001A6DC6" w:rsidRDefault="001A6DC6">
    <w:pPr>
      <w:pStyle w:val="Bunntekst"/>
    </w:pPr>
  </w:p>
  <w:p w14:paraId="4CE265E0" w14:textId="7C173792" w:rsidR="0026188B" w:rsidRPr="004F7D6A" w:rsidRDefault="004F7D6A">
    <w:pPr>
      <w:pStyle w:val="Bunntekst"/>
      <w:rPr>
        <w:lang w:val="en-GB"/>
      </w:rPr>
    </w:pPr>
    <w:r>
      <w:rPr>
        <w:i/>
        <w:iCs/>
        <w:lang w:val="en-GB"/>
      </w:rPr>
      <w:t xml:space="preserve">Policy </w:t>
    </w:r>
    <w:r w:rsidRPr="0006634F">
      <w:rPr>
        <w:i/>
        <w:iCs/>
        <w:lang w:val="en-GB"/>
      </w:rPr>
      <w:t xml:space="preserve">based on a generic template </w:t>
    </w:r>
    <w:r>
      <w:rPr>
        <w:i/>
        <w:iCs/>
        <w:lang w:val="en-GB"/>
      </w:rPr>
      <w:t>provided by</w:t>
    </w:r>
    <w:r w:rsidRPr="0006634F">
      <w:rPr>
        <w:i/>
        <w:iCs/>
        <w:lang w:val="en-GB"/>
      </w:rPr>
      <w:t xml:space="preserve"> Ethical Trade Norway</w:t>
    </w:r>
    <w:r w:rsidR="00B22C76">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BAEFC" w14:textId="77777777" w:rsidR="00613975" w:rsidRDefault="00613975" w:rsidP="00CF1657">
      <w:pPr>
        <w:spacing w:after="0" w:line="240" w:lineRule="auto"/>
      </w:pPr>
      <w:r>
        <w:separator/>
      </w:r>
    </w:p>
  </w:footnote>
  <w:footnote w:type="continuationSeparator" w:id="0">
    <w:p w14:paraId="32A6E82C" w14:textId="77777777" w:rsidR="00613975" w:rsidRDefault="00613975" w:rsidP="00CF1657">
      <w:pPr>
        <w:spacing w:after="0" w:line="240" w:lineRule="auto"/>
      </w:pPr>
      <w:r>
        <w:continuationSeparator/>
      </w:r>
    </w:p>
  </w:footnote>
  <w:footnote w:type="continuationNotice" w:id="1">
    <w:p w14:paraId="6B3F7AD9" w14:textId="77777777" w:rsidR="00613975" w:rsidRDefault="00613975">
      <w:pPr>
        <w:spacing w:after="0" w:line="240" w:lineRule="auto"/>
      </w:pPr>
    </w:p>
  </w:footnote>
  <w:footnote w:id="2">
    <w:p w14:paraId="4763998E" w14:textId="77777777" w:rsidR="002A41FE" w:rsidRPr="00FC7C4C" w:rsidRDefault="002A41FE" w:rsidP="002A41FE">
      <w:pPr>
        <w:pStyle w:val="Fotnotetekst"/>
        <w:rPr>
          <w:rFonts w:asciiTheme="majorHAnsi" w:hAnsiTheme="majorHAnsi" w:cstheme="majorHAnsi"/>
          <w:i/>
          <w:iCs/>
          <w:lang w:val="en-US"/>
        </w:rPr>
      </w:pPr>
      <w:r w:rsidRPr="0026188B">
        <w:rPr>
          <w:rStyle w:val="Fotnotereferanse"/>
          <w:rFonts w:asciiTheme="majorHAnsi" w:hAnsiTheme="majorHAnsi" w:cstheme="majorHAnsi"/>
          <w:i/>
          <w:iCs/>
        </w:rPr>
        <w:footnoteRef/>
      </w:r>
      <w:r w:rsidRPr="00FC7C4C">
        <w:rPr>
          <w:rFonts w:asciiTheme="majorHAnsi" w:hAnsiTheme="majorHAnsi" w:cstheme="majorHAnsi"/>
          <w:i/>
          <w:iCs/>
          <w:lang w:val="en-US"/>
        </w:rPr>
        <w:t xml:space="preserve"> The Brundtland commission, «Our Common Future», 1987</w:t>
      </w:r>
    </w:p>
  </w:footnote>
  <w:footnote w:id="3">
    <w:p w14:paraId="5306AD35" w14:textId="77777777" w:rsidR="002A41FE" w:rsidRPr="008519F1" w:rsidRDefault="002A41FE" w:rsidP="002A41FE">
      <w:pPr>
        <w:pStyle w:val="Fotnotetekst"/>
        <w:rPr>
          <w:lang w:val="en-US"/>
        </w:rPr>
      </w:pPr>
      <w:r w:rsidRPr="0026188B">
        <w:rPr>
          <w:rStyle w:val="Fotnotereferanse"/>
          <w:rFonts w:asciiTheme="majorHAnsi" w:hAnsiTheme="majorHAnsi" w:cstheme="majorHAnsi"/>
          <w:i/>
          <w:iCs/>
        </w:rPr>
        <w:footnoteRef/>
      </w:r>
      <w:r w:rsidRPr="0026188B">
        <w:rPr>
          <w:rFonts w:asciiTheme="majorHAnsi" w:hAnsiTheme="majorHAnsi" w:cstheme="majorHAnsi"/>
          <w:i/>
          <w:iCs/>
          <w:lang w:val="en-US"/>
        </w:rPr>
        <w:t xml:space="preserve"> UN OHCHR, Guiding Principles on Business and Human Rights (UNGP)”, 2011; OECD, «Due Diligence Guidance for Responsible Business Conduct»,</w:t>
      </w:r>
      <w:r w:rsidR="008357C8">
        <w:rPr>
          <w:rFonts w:asciiTheme="majorHAnsi" w:hAnsiTheme="majorHAnsi" w:cstheme="majorHAnsi"/>
          <w:i/>
          <w:iCs/>
          <w:lang w:val="en-US"/>
        </w:rPr>
        <w:t xml:space="preserve"> </w:t>
      </w:r>
      <w:r w:rsidRPr="0026188B">
        <w:rPr>
          <w:rFonts w:asciiTheme="majorHAnsi" w:hAnsiTheme="majorHAnsi" w:cstheme="majorHAnsi"/>
          <w:i/>
          <w:iCs/>
          <w:lang w:val="en-US"/>
        </w:rPr>
        <w:t>2018.</w:t>
      </w:r>
    </w:p>
  </w:footnote>
  <w:footnote w:id="4">
    <w:p w14:paraId="422FB52D" w14:textId="77777777" w:rsidR="009D3FA3" w:rsidRPr="00FA42C5" w:rsidRDefault="009D3FA3" w:rsidP="009D3FA3">
      <w:pPr>
        <w:pStyle w:val="Fotnotetekst"/>
        <w:rPr>
          <w:lang w:val="en-US"/>
        </w:rPr>
      </w:pPr>
      <w:r w:rsidRPr="0026188B">
        <w:rPr>
          <w:rStyle w:val="Fotnotereferanse"/>
          <w:i/>
          <w:iCs/>
        </w:rPr>
        <w:footnoteRef/>
      </w:r>
      <w:r w:rsidRPr="00FC7C4C">
        <w:rPr>
          <w:i/>
          <w:iCs/>
          <w:lang w:val="en-US"/>
        </w:rPr>
        <w:t xml:space="preserve"> </w:t>
      </w:r>
      <w:r w:rsidR="008357C8" w:rsidRPr="0026188B">
        <w:rPr>
          <w:rFonts w:asciiTheme="majorHAnsi" w:hAnsiTheme="majorHAnsi" w:cstheme="majorHAnsi"/>
          <w:i/>
          <w:iCs/>
          <w:lang w:val="en-US"/>
        </w:rPr>
        <w:t>OECD, «Due Diligence Guidance for Responsible Business Conduct»,</w:t>
      </w:r>
      <w:r w:rsidR="008357C8">
        <w:rPr>
          <w:rFonts w:asciiTheme="majorHAnsi" w:hAnsiTheme="majorHAnsi" w:cstheme="majorHAnsi"/>
          <w:i/>
          <w:iCs/>
          <w:lang w:val="en-US"/>
        </w:rPr>
        <w:t xml:space="preserve"> </w:t>
      </w:r>
      <w:r w:rsidR="008357C8" w:rsidRPr="0026188B">
        <w:rPr>
          <w:rFonts w:asciiTheme="majorHAnsi" w:hAnsiTheme="majorHAnsi" w:cstheme="majorHAnsi"/>
          <w:i/>
          <w:iCs/>
          <w:lang w:val="en-US"/>
        </w:rPr>
        <w:t>2018.</w:t>
      </w:r>
    </w:p>
  </w:footnote>
  <w:footnote w:id="5">
    <w:p w14:paraId="3B4660E8" w14:textId="77777777" w:rsidR="00C22098" w:rsidRPr="00FA42C5" w:rsidRDefault="00C22098" w:rsidP="00C22098">
      <w:pPr>
        <w:pStyle w:val="Fotnotetekst"/>
        <w:rPr>
          <w:lang w:val="en-US"/>
        </w:rPr>
      </w:pPr>
      <w:r w:rsidRPr="0026188B">
        <w:rPr>
          <w:rStyle w:val="Fotnotereferanse"/>
          <w:i/>
          <w:iCs/>
        </w:rPr>
        <w:footnoteRef/>
      </w:r>
      <w:r w:rsidRPr="00FC7C4C">
        <w:rPr>
          <w:i/>
          <w:iCs/>
          <w:lang w:val="en-US"/>
        </w:rPr>
        <w:t xml:space="preserve"> </w:t>
      </w:r>
      <w:r w:rsidRPr="0026188B">
        <w:rPr>
          <w:rFonts w:asciiTheme="majorHAnsi" w:hAnsiTheme="majorHAnsi" w:cstheme="majorHAnsi"/>
          <w:i/>
          <w:iCs/>
          <w:lang w:val="en-US"/>
        </w:rPr>
        <w:t>OECD, «Due Diligence Guidance for Responsible Business Conduct»,</w:t>
      </w:r>
      <w:r>
        <w:rPr>
          <w:rFonts w:asciiTheme="majorHAnsi" w:hAnsiTheme="majorHAnsi" w:cstheme="majorHAnsi"/>
          <w:i/>
          <w:iCs/>
          <w:lang w:val="en-US"/>
        </w:rPr>
        <w:t xml:space="preserve"> </w:t>
      </w:r>
      <w:r w:rsidRPr="0026188B">
        <w:rPr>
          <w:rFonts w:asciiTheme="majorHAnsi" w:hAnsiTheme="majorHAnsi" w:cstheme="majorHAnsi"/>
          <w:i/>
          <w:iCs/>
          <w:lang w:val="en-US"/>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8943" w14:textId="097BFA78" w:rsidR="001A6DC6" w:rsidRDefault="006A686C" w:rsidP="006A686C">
    <w:pPr>
      <w:pStyle w:val="Topptekst"/>
      <w:jc w:val="center"/>
    </w:pPr>
    <w:r>
      <w:rPr>
        <w:noProof/>
      </w:rPr>
      <w:drawing>
        <wp:inline distT="0" distB="0" distL="0" distR="0" wp14:anchorId="6D27329C" wp14:editId="6D372301">
          <wp:extent cx="1054960" cy="419100"/>
          <wp:effectExtent l="0" t="0" r="0" b="0"/>
          <wp:docPr id="166124289" name="Bilde 1" descr="Et bilde som inneholder Font, Grafikk, sor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4289" name="Bilde 1" descr="Et bilde som inneholder Font, Grafikk, sort,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73193" cy="426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3F28"/>
    <w:multiLevelType w:val="multilevel"/>
    <w:tmpl w:val="1E76DEE2"/>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5BFB7AAD"/>
    <w:multiLevelType w:val="hybridMultilevel"/>
    <w:tmpl w:val="2FE25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9334915">
    <w:abstractNumId w:val="1"/>
  </w:num>
  <w:num w:numId="2" w16cid:durableId="93914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57"/>
    <w:rsid w:val="0007041D"/>
    <w:rsid w:val="00087193"/>
    <w:rsid w:val="001A6DC6"/>
    <w:rsid w:val="001E2DA9"/>
    <w:rsid w:val="00250A31"/>
    <w:rsid w:val="0026188B"/>
    <w:rsid w:val="00267604"/>
    <w:rsid w:val="002A41FE"/>
    <w:rsid w:val="00306139"/>
    <w:rsid w:val="00315432"/>
    <w:rsid w:val="00321F1E"/>
    <w:rsid w:val="00353FBF"/>
    <w:rsid w:val="00393B20"/>
    <w:rsid w:val="00396C84"/>
    <w:rsid w:val="003A5715"/>
    <w:rsid w:val="003D06D1"/>
    <w:rsid w:val="003D44AE"/>
    <w:rsid w:val="003F0629"/>
    <w:rsid w:val="00425925"/>
    <w:rsid w:val="00430104"/>
    <w:rsid w:val="004450DA"/>
    <w:rsid w:val="00464A5E"/>
    <w:rsid w:val="004661EA"/>
    <w:rsid w:val="004E63B1"/>
    <w:rsid w:val="004F7D6A"/>
    <w:rsid w:val="0053391C"/>
    <w:rsid w:val="00552C39"/>
    <w:rsid w:val="005572B3"/>
    <w:rsid w:val="005911C0"/>
    <w:rsid w:val="005A097B"/>
    <w:rsid w:val="005E64CF"/>
    <w:rsid w:val="00613975"/>
    <w:rsid w:val="006513D6"/>
    <w:rsid w:val="0066408E"/>
    <w:rsid w:val="00694EBB"/>
    <w:rsid w:val="006A686C"/>
    <w:rsid w:val="006C731B"/>
    <w:rsid w:val="00725F1A"/>
    <w:rsid w:val="007717BB"/>
    <w:rsid w:val="00797B4D"/>
    <w:rsid w:val="007B410C"/>
    <w:rsid w:val="007F483F"/>
    <w:rsid w:val="007F4E78"/>
    <w:rsid w:val="00803FC2"/>
    <w:rsid w:val="008357C8"/>
    <w:rsid w:val="00836E56"/>
    <w:rsid w:val="008767F9"/>
    <w:rsid w:val="0088108D"/>
    <w:rsid w:val="008922A8"/>
    <w:rsid w:val="008A39F2"/>
    <w:rsid w:val="008E2F72"/>
    <w:rsid w:val="008E75C8"/>
    <w:rsid w:val="0091375B"/>
    <w:rsid w:val="009926A6"/>
    <w:rsid w:val="009D3FA3"/>
    <w:rsid w:val="009E48FF"/>
    <w:rsid w:val="009F49D6"/>
    <w:rsid w:val="00A1321F"/>
    <w:rsid w:val="00A163DB"/>
    <w:rsid w:val="00A22D17"/>
    <w:rsid w:val="00A721E0"/>
    <w:rsid w:val="00AA4F20"/>
    <w:rsid w:val="00B22C76"/>
    <w:rsid w:val="00B23DEE"/>
    <w:rsid w:val="00BC2403"/>
    <w:rsid w:val="00BE5B64"/>
    <w:rsid w:val="00C04F16"/>
    <w:rsid w:val="00C22098"/>
    <w:rsid w:val="00C3135A"/>
    <w:rsid w:val="00C47545"/>
    <w:rsid w:val="00C74BE7"/>
    <w:rsid w:val="00C91238"/>
    <w:rsid w:val="00CC2380"/>
    <w:rsid w:val="00CF1657"/>
    <w:rsid w:val="00D2503B"/>
    <w:rsid w:val="00D26546"/>
    <w:rsid w:val="00D81DC8"/>
    <w:rsid w:val="00DE2F34"/>
    <w:rsid w:val="00E522E2"/>
    <w:rsid w:val="00E54A28"/>
    <w:rsid w:val="00E702D4"/>
    <w:rsid w:val="00E719D9"/>
    <w:rsid w:val="00E75D76"/>
    <w:rsid w:val="00E812B9"/>
    <w:rsid w:val="00EA6F23"/>
    <w:rsid w:val="00ED64E6"/>
    <w:rsid w:val="00F03401"/>
    <w:rsid w:val="00F166BD"/>
    <w:rsid w:val="00FA42C5"/>
    <w:rsid w:val="00FC7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B5A7"/>
  <w15:chartTrackingRefBased/>
  <w15:docId w15:val="{CEC86598-FBA5-41C2-B9C5-7E8F60C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2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E2F72"/>
    <w:pPr>
      <w:keepNext/>
      <w:keepLines/>
      <w:spacing w:before="40" w:after="0"/>
      <w:outlineLvl w:val="1"/>
    </w:pPr>
    <w:rPr>
      <w:rFonts w:asciiTheme="majorHAnsi" w:eastAsiaTheme="majorEastAsia" w:hAnsiTheme="majorHAnsi" w:cstheme="majorBidi"/>
      <w:color w:val="385623" w:themeColor="accent6" w:themeShade="80"/>
      <w:sz w:val="24"/>
      <w:szCs w:val="26"/>
    </w:rPr>
  </w:style>
  <w:style w:type="paragraph" w:styleId="Overskrift3">
    <w:name w:val="heading 3"/>
    <w:basedOn w:val="Normal"/>
    <w:next w:val="Normal"/>
    <w:link w:val="Overskrift3Tegn"/>
    <w:uiPriority w:val="9"/>
    <w:unhideWhenUsed/>
    <w:qFormat/>
    <w:rsid w:val="008E2F72"/>
    <w:pPr>
      <w:keepNext/>
      <w:keepLines/>
      <w:spacing w:before="40" w:after="0"/>
      <w:outlineLvl w:val="2"/>
    </w:pPr>
    <w:rPr>
      <w:rFonts w:asciiTheme="majorHAnsi" w:eastAsiaTheme="majorEastAsia" w:hAnsiTheme="majorHAnsi" w:cstheme="majorBidi"/>
      <w:color w:val="385623" w:themeColor="accent6" w:themeShade="8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16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1657"/>
  </w:style>
  <w:style w:type="paragraph" w:styleId="Bunntekst">
    <w:name w:val="footer"/>
    <w:basedOn w:val="Normal"/>
    <w:link w:val="BunntekstTegn"/>
    <w:uiPriority w:val="99"/>
    <w:unhideWhenUsed/>
    <w:rsid w:val="00CF16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1657"/>
  </w:style>
  <w:style w:type="character" w:customStyle="1" w:styleId="Overskrift1Tegn">
    <w:name w:val="Overskrift 1 Tegn"/>
    <w:basedOn w:val="Standardskriftforavsnitt"/>
    <w:link w:val="Overskrift1"/>
    <w:uiPriority w:val="9"/>
    <w:rsid w:val="008E2F7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E2F72"/>
    <w:rPr>
      <w:rFonts w:asciiTheme="majorHAnsi" w:eastAsiaTheme="majorEastAsia" w:hAnsiTheme="majorHAnsi" w:cstheme="majorBidi"/>
      <w:color w:val="385623" w:themeColor="accent6" w:themeShade="80"/>
      <w:sz w:val="24"/>
      <w:szCs w:val="26"/>
    </w:rPr>
  </w:style>
  <w:style w:type="character" w:customStyle="1" w:styleId="Overskrift3Tegn">
    <w:name w:val="Overskrift 3 Tegn"/>
    <w:basedOn w:val="Standardskriftforavsnitt"/>
    <w:link w:val="Overskrift3"/>
    <w:uiPriority w:val="9"/>
    <w:rsid w:val="008E2F72"/>
    <w:rPr>
      <w:rFonts w:asciiTheme="majorHAnsi" w:eastAsiaTheme="majorEastAsia" w:hAnsiTheme="majorHAnsi" w:cstheme="majorBidi"/>
      <w:color w:val="385623" w:themeColor="accent6" w:themeShade="80"/>
      <w:sz w:val="24"/>
      <w:szCs w:val="24"/>
    </w:rPr>
  </w:style>
  <w:style w:type="table" w:styleId="Tabellrutenett">
    <w:name w:val="Table Grid"/>
    <w:basedOn w:val="Vanligtabell"/>
    <w:uiPriority w:val="39"/>
    <w:rsid w:val="001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26188B"/>
    <w:pPr>
      <w:spacing w:after="0" w:line="240" w:lineRule="auto"/>
    </w:pPr>
    <w:rPr>
      <w:color w:val="231F20"/>
      <w:sz w:val="20"/>
      <w:szCs w:val="20"/>
    </w:rPr>
  </w:style>
  <w:style w:type="character" w:customStyle="1" w:styleId="FotnotetekstTegn">
    <w:name w:val="Fotnotetekst Tegn"/>
    <w:basedOn w:val="Standardskriftforavsnitt"/>
    <w:link w:val="Fotnotetekst"/>
    <w:uiPriority w:val="99"/>
    <w:semiHidden/>
    <w:rsid w:val="0026188B"/>
    <w:rPr>
      <w:color w:val="231F20"/>
      <w:sz w:val="20"/>
      <w:szCs w:val="20"/>
    </w:rPr>
  </w:style>
  <w:style w:type="character" w:styleId="Fotnotereferanse">
    <w:name w:val="footnote reference"/>
    <w:basedOn w:val="Standardskriftforavsnitt"/>
    <w:uiPriority w:val="99"/>
    <w:semiHidden/>
    <w:unhideWhenUsed/>
    <w:rsid w:val="0026188B"/>
    <w:rPr>
      <w:vertAlign w:val="superscript"/>
    </w:rPr>
  </w:style>
  <w:style w:type="paragraph" w:styleId="Listeavsnitt">
    <w:name w:val="List Paragraph"/>
    <w:basedOn w:val="Normal"/>
    <w:link w:val="ListeavsnittTegn"/>
    <w:uiPriority w:val="99"/>
    <w:qFormat/>
    <w:rsid w:val="0026188B"/>
    <w:pPr>
      <w:tabs>
        <w:tab w:val="left" w:pos="850"/>
        <w:tab w:val="left" w:pos="1191"/>
        <w:tab w:val="left" w:pos="1531"/>
      </w:tabs>
      <w:spacing w:after="0" w:line="240" w:lineRule="auto"/>
      <w:ind w:left="720"/>
      <w:contextualSpacing/>
      <w:jc w:val="both"/>
    </w:pPr>
    <w:rPr>
      <w:rFonts w:ascii="Times New Roman" w:hAnsi="Times New Roman" w:cs="Times New Roman"/>
      <w:lang w:val="en-GB" w:eastAsia="zh-CN"/>
    </w:rPr>
  </w:style>
  <w:style w:type="character" w:customStyle="1" w:styleId="ListeavsnittTegn">
    <w:name w:val="Listeavsnitt Tegn"/>
    <w:basedOn w:val="Standardskriftforavsnitt"/>
    <w:link w:val="Listeavsnitt"/>
    <w:uiPriority w:val="99"/>
    <w:locked/>
    <w:rsid w:val="0026188B"/>
    <w:rPr>
      <w:rFonts w:ascii="Times New Roman" w:hAnsi="Times New Roman" w:cs="Times New Roman"/>
      <w:lang w:val="en-GB" w:eastAsia="zh-CN"/>
    </w:rPr>
  </w:style>
  <w:style w:type="paragraph" w:styleId="Bobletekst">
    <w:name w:val="Balloon Text"/>
    <w:basedOn w:val="Normal"/>
    <w:link w:val="BobletekstTegn"/>
    <w:uiPriority w:val="99"/>
    <w:semiHidden/>
    <w:unhideWhenUsed/>
    <w:rsid w:val="00250A3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50A31"/>
    <w:rPr>
      <w:rFonts w:ascii="Segoe UI" w:hAnsi="Segoe UI" w:cs="Segoe UI"/>
      <w:sz w:val="18"/>
      <w:szCs w:val="18"/>
    </w:rPr>
  </w:style>
  <w:style w:type="character" w:styleId="Merknadsreferanse">
    <w:name w:val="annotation reference"/>
    <w:basedOn w:val="Standardskriftforavsnitt"/>
    <w:uiPriority w:val="99"/>
    <w:semiHidden/>
    <w:unhideWhenUsed/>
    <w:rsid w:val="003D44AE"/>
    <w:rPr>
      <w:sz w:val="16"/>
      <w:szCs w:val="16"/>
    </w:rPr>
  </w:style>
  <w:style w:type="paragraph" w:styleId="Merknadstekst">
    <w:name w:val="annotation text"/>
    <w:basedOn w:val="Normal"/>
    <w:link w:val="MerknadstekstTegn"/>
    <w:uiPriority w:val="99"/>
    <w:semiHidden/>
    <w:unhideWhenUsed/>
    <w:rsid w:val="003D44A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D44AE"/>
    <w:rPr>
      <w:sz w:val="20"/>
      <w:szCs w:val="20"/>
    </w:rPr>
  </w:style>
  <w:style w:type="paragraph" w:styleId="Kommentaremne">
    <w:name w:val="annotation subject"/>
    <w:basedOn w:val="Merknadstekst"/>
    <w:next w:val="Merknadstekst"/>
    <w:link w:val="KommentaremneTegn"/>
    <w:uiPriority w:val="99"/>
    <w:semiHidden/>
    <w:unhideWhenUsed/>
    <w:rsid w:val="003D44AE"/>
    <w:rPr>
      <w:b/>
      <w:bCs/>
    </w:rPr>
  </w:style>
  <w:style w:type="character" w:customStyle="1" w:styleId="KommentaremneTegn">
    <w:name w:val="Kommentaremne Tegn"/>
    <w:basedOn w:val="MerknadstekstTegn"/>
    <w:link w:val="Kommentaremne"/>
    <w:uiPriority w:val="99"/>
    <w:semiHidden/>
    <w:rsid w:val="003D4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0048">
      <w:bodyDiv w:val="1"/>
      <w:marLeft w:val="0"/>
      <w:marRight w:val="0"/>
      <w:marTop w:val="0"/>
      <w:marBottom w:val="0"/>
      <w:divBdr>
        <w:top w:val="none" w:sz="0" w:space="0" w:color="auto"/>
        <w:left w:val="none" w:sz="0" w:space="0" w:color="auto"/>
        <w:bottom w:val="none" w:sz="0" w:space="0" w:color="auto"/>
        <w:right w:val="none" w:sz="0" w:space="0" w:color="auto"/>
      </w:divBdr>
    </w:div>
    <w:div w:id="49620330">
      <w:bodyDiv w:val="1"/>
      <w:marLeft w:val="0"/>
      <w:marRight w:val="0"/>
      <w:marTop w:val="0"/>
      <w:marBottom w:val="0"/>
      <w:divBdr>
        <w:top w:val="none" w:sz="0" w:space="0" w:color="auto"/>
        <w:left w:val="none" w:sz="0" w:space="0" w:color="auto"/>
        <w:bottom w:val="none" w:sz="0" w:space="0" w:color="auto"/>
        <w:right w:val="none" w:sz="0" w:space="0" w:color="auto"/>
      </w:divBdr>
    </w:div>
    <w:div w:id="68771935">
      <w:bodyDiv w:val="1"/>
      <w:marLeft w:val="0"/>
      <w:marRight w:val="0"/>
      <w:marTop w:val="0"/>
      <w:marBottom w:val="0"/>
      <w:divBdr>
        <w:top w:val="none" w:sz="0" w:space="0" w:color="auto"/>
        <w:left w:val="none" w:sz="0" w:space="0" w:color="auto"/>
        <w:bottom w:val="none" w:sz="0" w:space="0" w:color="auto"/>
        <w:right w:val="none" w:sz="0" w:space="0" w:color="auto"/>
      </w:divBdr>
    </w:div>
    <w:div w:id="256207632">
      <w:bodyDiv w:val="1"/>
      <w:marLeft w:val="0"/>
      <w:marRight w:val="0"/>
      <w:marTop w:val="0"/>
      <w:marBottom w:val="0"/>
      <w:divBdr>
        <w:top w:val="none" w:sz="0" w:space="0" w:color="auto"/>
        <w:left w:val="none" w:sz="0" w:space="0" w:color="auto"/>
        <w:bottom w:val="none" w:sz="0" w:space="0" w:color="auto"/>
        <w:right w:val="none" w:sz="0" w:space="0" w:color="auto"/>
      </w:divBdr>
    </w:div>
    <w:div w:id="277221956">
      <w:bodyDiv w:val="1"/>
      <w:marLeft w:val="0"/>
      <w:marRight w:val="0"/>
      <w:marTop w:val="0"/>
      <w:marBottom w:val="0"/>
      <w:divBdr>
        <w:top w:val="none" w:sz="0" w:space="0" w:color="auto"/>
        <w:left w:val="none" w:sz="0" w:space="0" w:color="auto"/>
        <w:bottom w:val="none" w:sz="0" w:space="0" w:color="auto"/>
        <w:right w:val="none" w:sz="0" w:space="0" w:color="auto"/>
      </w:divBdr>
    </w:div>
    <w:div w:id="351340674">
      <w:bodyDiv w:val="1"/>
      <w:marLeft w:val="0"/>
      <w:marRight w:val="0"/>
      <w:marTop w:val="0"/>
      <w:marBottom w:val="0"/>
      <w:divBdr>
        <w:top w:val="none" w:sz="0" w:space="0" w:color="auto"/>
        <w:left w:val="none" w:sz="0" w:space="0" w:color="auto"/>
        <w:bottom w:val="none" w:sz="0" w:space="0" w:color="auto"/>
        <w:right w:val="none" w:sz="0" w:space="0" w:color="auto"/>
      </w:divBdr>
    </w:div>
    <w:div w:id="472916526">
      <w:bodyDiv w:val="1"/>
      <w:marLeft w:val="0"/>
      <w:marRight w:val="0"/>
      <w:marTop w:val="0"/>
      <w:marBottom w:val="0"/>
      <w:divBdr>
        <w:top w:val="none" w:sz="0" w:space="0" w:color="auto"/>
        <w:left w:val="none" w:sz="0" w:space="0" w:color="auto"/>
        <w:bottom w:val="none" w:sz="0" w:space="0" w:color="auto"/>
        <w:right w:val="none" w:sz="0" w:space="0" w:color="auto"/>
      </w:divBdr>
    </w:div>
    <w:div w:id="523132993">
      <w:bodyDiv w:val="1"/>
      <w:marLeft w:val="0"/>
      <w:marRight w:val="0"/>
      <w:marTop w:val="0"/>
      <w:marBottom w:val="0"/>
      <w:divBdr>
        <w:top w:val="none" w:sz="0" w:space="0" w:color="auto"/>
        <w:left w:val="none" w:sz="0" w:space="0" w:color="auto"/>
        <w:bottom w:val="none" w:sz="0" w:space="0" w:color="auto"/>
        <w:right w:val="none" w:sz="0" w:space="0" w:color="auto"/>
      </w:divBdr>
    </w:div>
    <w:div w:id="538322533">
      <w:bodyDiv w:val="1"/>
      <w:marLeft w:val="0"/>
      <w:marRight w:val="0"/>
      <w:marTop w:val="0"/>
      <w:marBottom w:val="0"/>
      <w:divBdr>
        <w:top w:val="none" w:sz="0" w:space="0" w:color="auto"/>
        <w:left w:val="none" w:sz="0" w:space="0" w:color="auto"/>
        <w:bottom w:val="none" w:sz="0" w:space="0" w:color="auto"/>
        <w:right w:val="none" w:sz="0" w:space="0" w:color="auto"/>
      </w:divBdr>
    </w:div>
    <w:div w:id="729770564">
      <w:bodyDiv w:val="1"/>
      <w:marLeft w:val="0"/>
      <w:marRight w:val="0"/>
      <w:marTop w:val="0"/>
      <w:marBottom w:val="0"/>
      <w:divBdr>
        <w:top w:val="none" w:sz="0" w:space="0" w:color="auto"/>
        <w:left w:val="none" w:sz="0" w:space="0" w:color="auto"/>
        <w:bottom w:val="none" w:sz="0" w:space="0" w:color="auto"/>
        <w:right w:val="none" w:sz="0" w:space="0" w:color="auto"/>
      </w:divBdr>
    </w:div>
    <w:div w:id="734667047">
      <w:bodyDiv w:val="1"/>
      <w:marLeft w:val="0"/>
      <w:marRight w:val="0"/>
      <w:marTop w:val="0"/>
      <w:marBottom w:val="0"/>
      <w:divBdr>
        <w:top w:val="none" w:sz="0" w:space="0" w:color="auto"/>
        <w:left w:val="none" w:sz="0" w:space="0" w:color="auto"/>
        <w:bottom w:val="none" w:sz="0" w:space="0" w:color="auto"/>
        <w:right w:val="none" w:sz="0" w:space="0" w:color="auto"/>
      </w:divBdr>
    </w:div>
    <w:div w:id="1045133729">
      <w:bodyDiv w:val="1"/>
      <w:marLeft w:val="0"/>
      <w:marRight w:val="0"/>
      <w:marTop w:val="0"/>
      <w:marBottom w:val="0"/>
      <w:divBdr>
        <w:top w:val="none" w:sz="0" w:space="0" w:color="auto"/>
        <w:left w:val="none" w:sz="0" w:space="0" w:color="auto"/>
        <w:bottom w:val="none" w:sz="0" w:space="0" w:color="auto"/>
        <w:right w:val="none" w:sz="0" w:space="0" w:color="auto"/>
      </w:divBdr>
    </w:div>
    <w:div w:id="1109465823">
      <w:bodyDiv w:val="1"/>
      <w:marLeft w:val="0"/>
      <w:marRight w:val="0"/>
      <w:marTop w:val="0"/>
      <w:marBottom w:val="0"/>
      <w:divBdr>
        <w:top w:val="none" w:sz="0" w:space="0" w:color="auto"/>
        <w:left w:val="none" w:sz="0" w:space="0" w:color="auto"/>
        <w:bottom w:val="none" w:sz="0" w:space="0" w:color="auto"/>
        <w:right w:val="none" w:sz="0" w:space="0" w:color="auto"/>
      </w:divBdr>
    </w:div>
    <w:div w:id="1331103231">
      <w:bodyDiv w:val="1"/>
      <w:marLeft w:val="0"/>
      <w:marRight w:val="0"/>
      <w:marTop w:val="0"/>
      <w:marBottom w:val="0"/>
      <w:divBdr>
        <w:top w:val="none" w:sz="0" w:space="0" w:color="auto"/>
        <w:left w:val="none" w:sz="0" w:space="0" w:color="auto"/>
        <w:bottom w:val="none" w:sz="0" w:space="0" w:color="auto"/>
        <w:right w:val="none" w:sz="0" w:space="0" w:color="auto"/>
      </w:divBdr>
    </w:div>
    <w:div w:id="1350335106">
      <w:bodyDiv w:val="1"/>
      <w:marLeft w:val="0"/>
      <w:marRight w:val="0"/>
      <w:marTop w:val="0"/>
      <w:marBottom w:val="0"/>
      <w:divBdr>
        <w:top w:val="none" w:sz="0" w:space="0" w:color="auto"/>
        <w:left w:val="none" w:sz="0" w:space="0" w:color="auto"/>
        <w:bottom w:val="none" w:sz="0" w:space="0" w:color="auto"/>
        <w:right w:val="none" w:sz="0" w:space="0" w:color="auto"/>
      </w:divBdr>
    </w:div>
    <w:div w:id="1360011844">
      <w:bodyDiv w:val="1"/>
      <w:marLeft w:val="0"/>
      <w:marRight w:val="0"/>
      <w:marTop w:val="0"/>
      <w:marBottom w:val="0"/>
      <w:divBdr>
        <w:top w:val="none" w:sz="0" w:space="0" w:color="auto"/>
        <w:left w:val="none" w:sz="0" w:space="0" w:color="auto"/>
        <w:bottom w:val="none" w:sz="0" w:space="0" w:color="auto"/>
        <w:right w:val="none" w:sz="0" w:space="0" w:color="auto"/>
      </w:divBdr>
    </w:div>
    <w:div w:id="1411656156">
      <w:bodyDiv w:val="1"/>
      <w:marLeft w:val="0"/>
      <w:marRight w:val="0"/>
      <w:marTop w:val="0"/>
      <w:marBottom w:val="0"/>
      <w:divBdr>
        <w:top w:val="none" w:sz="0" w:space="0" w:color="auto"/>
        <w:left w:val="none" w:sz="0" w:space="0" w:color="auto"/>
        <w:bottom w:val="none" w:sz="0" w:space="0" w:color="auto"/>
        <w:right w:val="none" w:sz="0" w:space="0" w:color="auto"/>
      </w:divBdr>
    </w:div>
    <w:div w:id="1445154078">
      <w:bodyDiv w:val="1"/>
      <w:marLeft w:val="0"/>
      <w:marRight w:val="0"/>
      <w:marTop w:val="0"/>
      <w:marBottom w:val="0"/>
      <w:divBdr>
        <w:top w:val="none" w:sz="0" w:space="0" w:color="auto"/>
        <w:left w:val="none" w:sz="0" w:space="0" w:color="auto"/>
        <w:bottom w:val="none" w:sz="0" w:space="0" w:color="auto"/>
        <w:right w:val="none" w:sz="0" w:space="0" w:color="auto"/>
      </w:divBdr>
    </w:div>
    <w:div w:id="1473019369">
      <w:bodyDiv w:val="1"/>
      <w:marLeft w:val="0"/>
      <w:marRight w:val="0"/>
      <w:marTop w:val="0"/>
      <w:marBottom w:val="0"/>
      <w:divBdr>
        <w:top w:val="none" w:sz="0" w:space="0" w:color="auto"/>
        <w:left w:val="none" w:sz="0" w:space="0" w:color="auto"/>
        <w:bottom w:val="none" w:sz="0" w:space="0" w:color="auto"/>
        <w:right w:val="none" w:sz="0" w:space="0" w:color="auto"/>
      </w:divBdr>
    </w:div>
    <w:div w:id="1482769386">
      <w:bodyDiv w:val="1"/>
      <w:marLeft w:val="0"/>
      <w:marRight w:val="0"/>
      <w:marTop w:val="0"/>
      <w:marBottom w:val="0"/>
      <w:divBdr>
        <w:top w:val="none" w:sz="0" w:space="0" w:color="auto"/>
        <w:left w:val="none" w:sz="0" w:space="0" w:color="auto"/>
        <w:bottom w:val="none" w:sz="0" w:space="0" w:color="auto"/>
        <w:right w:val="none" w:sz="0" w:space="0" w:color="auto"/>
      </w:divBdr>
    </w:div>
    <w:div w:id="19557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6412e-6627-4541-b211-ae8392b0a6a0">
      <Terms xmlns="http://schemas.microsoft.com/office/infopath/2007/PartnerControls"/>
    </lcf76f155ced4ddcb4097134ff3c332f>
    <TaxCatchAll xmlns="261e5cb2-90fb-4c82-9ccf-fd74c45a4b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DED02F6CADC54B86DB527D472A9A87" ma:contentTypeVersion="17" ma:contentTypeDescription="Opprett et nytt dokument." ma:contentTypeScope="" ma:versionID="8af45d7ed10dc06fcb0f8dee483c3e93">
  <xsd:schema xmlns:xsd="http://www.w3.org/2001/XMLSchema" xmlns:xs="http://www.w3.org/2001/XMLSchema" xmlns:p="http://schemas.microsoft.com/office/2006/metadata/properties" xmlns:ns2="3156412e-6627-4541-b211-ae8392b0a6a0" xmlns:ns3="261e5cb2-90fb-4c82-9ccf-fd74c45a4bb4" targetNamespace="http://schemas.microsoft.com/office/2006/metadata/properties" ma:root="true" ma:fieldsID="bd077b7377069f5cbbe78e2ba9f90031" ns2:_="" ns3:_="">
    <xsd:import namespace="3156412e-6627-4541-b211-ae8392b0a6a0"/>
    <xsd:import namespace="261e5cb2-90fb-4c82-9ccf-fd74c45a4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412e-6627-4541-b211-ae8392b0a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66df01d-f549-43bd-b711-5dd7d6695d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e5cb2-90fb-4c82-9ccf-fd74c45a4bb4"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bb54269-060e-4757-93cd-79a81065e721}" ma:internalName="TaxCatchAll" ma:showField="CatchAllData" ma:web="261e5cb2-90fb-4c82-9ccf-fd74c45a4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A7619-EA7F-4BAC-AB1F-EAA88DAFDCBB}">
  <ds:schemaRefs>
    <ds:schemaRef ds:uri="http://schemas.microsoft.com/sharepoint/v3/contenttype/forms"/>
  </ds:schemaRefs>
</ds:datastoreItem>
</file>

<file path=customXml/itemProps2.xml><?xml version="1.0" encoding="utf-8"?>
<ds:datastoreItem xmlns:ds="http://schemas.openxmlformats.org/officeDocument/2006/customXml" ds:itemID="{DCEBAE30-7DE4-4482-A51E-4A3650CA2758}">
  <ds:schemaRefs>
    <ds:schemaRef ds:uri="http://schemas.microsoft.com/office/2006/metadata/properties"/>
    <ds:schemaRef ds:uri="http://schemas.microsoft.com/office/infopath/2007/PartnerControls"/>
    <ds:schemaRef ds:uri="3156412e-6627-4541-b211-ae8392b0a6a0"/>
    <ds:schemaRef ds:uri="261e5cb2-90fb-4c82-9ccf-fd74c45a4bb4"/>
  </ds:schemaRefs>
</ds:datastoreItem>
</file>

<file path=customXml/itemProps3.xml><?xml version="1.0" encoding="utf-8"?>
<ds:datastoreItem xmlns:ds="http://schemas.openxmlformats.org/officeDocument/2006/customXml" ds:itemID="{DFF675E2-F855-4368-A812-70E05104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6412e-6627-4541-b211-ae8392b0a6a0"/>
    <ds:schemaRef ds:uri="261e5cb2-90fb-4c82-9ccf-fd74c45a4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1960</Words>
  <Characters>11177</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dc:creator>
  <cp:keywords/>
  <dc:description/>
  <cp:lastModifiedBy>Amar Bokhari</cp:lastModifiedBy>
  <cp:revision>3</cp:revision>
  <cp:lastPrinted>2019-12-06T12:43:00Z</cp:lastPrinted>
  <dcterms:created xsi:type="dcterms:W3CDTF">2024-09-04T08:04:00Z</dcterms:created>
  <dcterms:modified xsi:type="dcterms:W3CDTF">2025-01-31T13:15:00Z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0x01010029DED02F6CADC54B86DB527D472A9A87</vt:lpwstr>
  </property>
  <property fmtid="{D5CDD505-2E9C-101B-9397-08002B2CF9AE}" pid="3" name="Order">
    <vt:r8>27400</vt:r8>
  </property>
  <property fmtid="{D5CDD505-2E9C-101B-9397-08002B2CF9AE}" pid="4" name="MediaServiceImageTags">
    <vt:lpwstr/>
  </property>
</Properties>
</file>